
<file path=[Content_Types].xml><?xml version="1.0" encoding="utf-8"?>
<Types xmlns="http://schemas.openxmlformats.org/package/2006/content-types">
  <Default Extension="xml" ContentType="application/xml"/>
  <Default Extension="wdp" ContentType="image/vnd.ms-photo"/>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1H420000机电工程项目施工管理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1H420070机电工程施工协调管理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施工现场内部协调管理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施工现场外部协调管理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1H420000机电工程项目施工管理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1H420080机电工程施工进度管理</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施工进度计划类型与编制</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施工进度控制措施</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施工进度计划调整</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工程费用-进度偏差分析与控制</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机电工程项目施工进度计划表示方法</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横道图、网络图、流水作业图表等</w:t>
      </w:r>
      <w:r>
        <w:rPr>
          <w:rFonts w:hint="eastAsia" w:asciiTheme="minorEastAsia" w:hAnsiTheme="minorEastAsia" w:eastAsiaTheme="minorEastAsia"/>
          <w:sz w:val="22"/>
          <w:szCs w:val="22"/>
        </w:rPr>
        <w:t>，</w:t>
      </w:r>
      <w:r>
        <w:rPr>
          <w:rFonts w:asciiTheme="minorEastAsia" w:hAnsiTheme="minorEastAsia" w:eastAsiaTheme="minorEastAsia"/>
          <w:sz w:val="22"/>
          <w:szCs w:val="22"/>
        </w:rPr>
        <w:t>常用的有横道图和网络图两种</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横道图优点——</w:t>
      </w:r>
      <w:r>
        <w:rPr>
          <w:rFonts w:asciiTheme="minorEastAsia" w:hAnsiTheme="minorEastAsia" w:eastAsiaTheme="minorEastAsia"/>
          <w:sz w:val="22"/>
          <w:szCs w:val="22"/>
        </w:rPr>
        <w:t>编制方法直观清晰（能清晰的表示各处工序的开始、持续时间和完成时间以及总工期）、便于计算劳动力、物资和资金的需求；</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横道图缺点——</w:t>
      </w:r>
      <w:r>
        <w:rPr>
          <w:rFonts w:asciiTheme="minorEastAsia" w:hAnsiTheme="minorEastAsia" w:eastAsiaTheme="minorEastAsia"/>
          <w:sz w:val="22"/>
          <w:szCs w:val="22"/>
        </w:rPr>
        <w:t>工作关系复杂时，不能清晰的表达各工作的衔接关系；也不能表达关键线路和关键工作，不利于进度计划动态控制。</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横道图适用</w:t>
      </w:r>
      <w:r>
        <w:rPr>
          <w:rFonts w:asciiTheme="minorEastAsia" w:hAnsiTheme="minorEastAsia" w:eastAsiaTheme="minorEastAsia"/>
          <w:sz w:val="22"/>
          <w:szCs w:val="22"/>
        </w:rPr>
        <w:t>：小型项目或大型项目的子项目</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影响施工进度的因素</w:t>
      </w:r>
      <w:r>
        <w:rPr>
          <w:rFonts w:hint="eastAsia" w:asciiTheme="minorEastAsia" w:hAnsiTheme="minorEastAsia" w:eastAsiaTheme="minorEastAsia"/>
          <w:color w:val="FF0000"/>
          <w:sz w:val="22"/>
          <w:szCs w:val="22"/>
          <w:bdr w:val="single" w:color="auto" w:sz="4" w:space="0"/>
        </w:rPr>
        <w:t>（总结内容）</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设备材料的进场时间和质量</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进度款的结算情况</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工程变更情况</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施工环境的影响</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上道工序的进度和质量</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自身的协调能力</w:t>
      </w:r>
    </w:p>
    <w:p>
      <w:pPr>
        <w:adjustRightInd w:val="0"/>
        <w:snapToGrid w:val="0"/>
        <w:spacing w:line="312" w:lineRule="auto"/>
        <w:ind w:left="440"/>
        <w:rPr>
          <w:rFonts w:asciiTheme="minorEastAsia" w:hAnsiTheme="minorEastAsia" w:eastAsiaTheme="minorEastAsia"/>
          <w:sz w:val="22"/>
          <w:szCs w:val="22"/>
        </w:rPr>
      </w:pPr>
      <w:r>
        <w:rPr>
          <w:rFonts w:asciiTheme="minorEastAsia" w:hAnsiTheme="minorEastAsia" w:eastAsiaTheme="minorEastAsia"/>
          <w:sz w:val="22"/>
          <w:szCs w:val="22"/>
        </w:rPr>
        <w:t>各单位、各专业之间的配合、协调</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进度偏差分析</w:t>
      </w:r>
      <w:r>
        <w:rPr>
          <w:rFonts w:hint="eastAsia" w:ascii="宋体" w:hAnsi="宋体"/>
          <w:b/>
          <w:sz w:val="22"/>
        </w:rPr>
        <w:t>【重要】</w:t>
      </w:r>
    </w:p>
    <w:p>
      <w:pPr>
        <w:adjustRightInd w:val="0"/>
        <w:snapToGrid w:val="0"/>
        <w:spacing w:line="312" w:lineRule="auto"/>
        <w:ind w:firstLine="440" w:firstLineChars="200"/>
        <w:rPr>
          <w:rFonts w:asciiTheme="minorEastAsia" w:hAnsiTheme="minorEastAsia" w:eastAsiaTheme="minorEastAsia"/>
          <w:sz w:val="22"/>
          <w:szCs w:val="22"/>
        </w:rPr>
      </w:pPr>
      <w:bookmarkStart w:id="0" w:name="_GoBack"/>
      <w:r>
        <w:rPr>
          <w:rFonts w:hint="eastAsia" w:cs="Arial" w:asciiTheme="minorEastAsia" w:hAnsiTheme="minorEastAsia" w:eastAsiaTheme="minorEastAsia"/>
          <w:sz w:val="22"/>
          <w:szCs w:val="22"/>
        </w:rPr>
        <mc:AlternateContent>
          <mc:Choice Requires="wps">
            <w:drawing>
              <wp:anchor distT="0" distB="0" distL="114300" distR="114300" simplePos="0" relativeHeight="251704320" behindDoc="0" locked="0" layoutInCell="1" allowOverlap="1">
                <wp:simplePos x="0" y="0"/>
                <wp:positionH relativeFrom="column">
                  <wp:posOffset>1189355</wp:posOffset>
                </wp:positionH>
                <wp:positionV relativeFrom="paragraph">
                  <wp:posOffset>227965</wp:posOffset>
                </wp:positionV>
                <wp:extent cx="4572000" cy="1781175"/>
                <wp:effectExtent l="6350" t="6350" r="12700" b="22225"/>
                <wp:wrapNone/>
                <wp:docPr id="245" name="矩形 245"/>
                <wp:cNvGraphicFramePr/>
                <a:graphic xmlns:a="http://schemas.openxmlformats.org/drawingml/2006/main">
                  <a:graphicData uri="http://schemas.microsoft.com/office/word/2010/wordprocessingShape">
                    <wps:wsp>
                      <wps:cNvSpPr/>
                      <wps:spPr>
                        <a:xfrm>
                          <a:off x="0" y="0"/>
                          <a:ext cx="4572000" cy="1781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65pt;margin-top:17.95pt;height:140.25pt;width:360pt;z-index:251704320;v-text-anchor:middle;mso-width-relative:page;mso-height-relative:page;" fillcolor="#FFFFFF [3201]" filled="t" stroked="t" coordsize="21600,21600" o:gfxdata="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Syv&#10;NNkAAAAKAQAADwAAAAAAAAABACAAAAAiAAAAZHJzL2Rvd25yZXYueG1sUEsBAhQAFAAAAAgAh07i&#10;QPAjXHZaAgAAqwQAAA4AAAAAAAAAAQAgAAAAKAEAAGRycy9lMm9Eb2MueG1sUEsFBgAAAAAGAAYA&#10;WQEAAPQFAAAAAA==&#10;">
                <v:fill on="t" focussize="0,0"/>
                <v:stroke weight="1pt" color="#70AD47 [3209]" miterlimit="8" joinstyle="miter"/>
                <v:imagedata o:title=""/>
                <o:lock v:ext="edit" aspectratio="f"/>
              </v:rect>
            </w:pict>
          </mc:Fallback>
        </mc:AlternateContent>
      </w:r>
      <w:bookmarkEnd w:id="0"/>
      <w:r>
        <w:rPr>
          <w:rFonts w:asciiTheme="minorEastAsia" w:hAnsiTheme="minorEastAsia" w:eastAsiaTheme="minorEastAsia"/>
          <w:sz w:val="22"/>
          <w:szCs w:val="22"/>
        </w:rPr>
        <w:t>基础知识：画网络图、六时计算</w:t>
      </w:r>
    </w:p>
    <w:tbl>
      <w:tblPr>
        <w:tblStyle w:val="5"/>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工作</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紧前工作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A</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B</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C</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D</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E</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F</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G</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H</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
                <w:sz w:val="22"/>
                <w:szCs w:val="22"/>
              </w:rPr>
              <w:t>DEF</w:t>
            </w:r>
          </w:p>
        </w:tc>
      </w:tr>
    </w:tbl>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mc:AlternateContent>
          <mc:Choice Requires="wps">
            <w:drawing>
              <wp:anchor distT="0" distB="0" distL="114300" distR="114300" simplePos="0" relativeHeight="251705344" behindDoc="0" locked="0" layoutInCell="1" allowOverlap="1">
                <wp:simplePos x="0" y="0"/>
                <wp:positionH relativeFrom="column">
                  <wp:posOffset>1246505</wp:posOffset>
                </wp:positionH>
                <wp:positionV relativeFrom="paragraph">
                  <wp:posOffset>214630</wp:posOffset>
                </wp:positionV>
                <wp:extent cx="4743450" cy="2085975"/>
                <wp:effectExtent l="6350" t="6350" r="12700" b="22225"/>
                <wp:wrapNone/>
                <wp:docPr id="246" name="矩形 246"/>
                <wp:cNvGraphicFramePr/>
                <a:graphic xmlns:a="http://schemas.openxmlformats.org/drawingml/2006/main">
                  <a:graphicData uri="http://schemas.microsoft.com/office/word/2010/wordprocessingShape">
                    <wps:wsp>
                      <wps:cNvSpPr/>
                      <wps:spPr>
                        <a:xfrm>
                          <a:off x="0" y="0"/>
                          <a:ext cx="4743450" cy="2085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15pt;margin-top:16.9pt;height:164.25pt;width:373.5pt;z-index:251705344;v-text-anchor:middle;mso-width-relative:page;mso-height-relative:page;" fillcolor="#FFFFFF [3201]" filled="t" stroked="t" coordsize="21600,21600" o:gfxdata="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Wj5vLX&#10;AAAACgEAAA8AAAAAAAAAAQAgAAAAIgAAAGRycy9kb3ducmV2LnhtbFBLAQIUABQAAAAIAIdO4kDB&#10;oIsJWgIAAKsEAAAOAAAAAAAAAAEAIAAAACYBAABkcnMvZTJvRG9jLnhtbFBLBQYAAAAABgAGAFkB&#10;AADyBQAAAAA=&#10;">
                <v:fill on="t" focussize="0,0"/>
                <v:stroke weight="1pt" color="#70AD47 [3209]" miterlimit="8" joinstyle="miter"/>
                <v:imagedata o:title=""/>
                <o:lock v:ext="edit" aspectratio="f"/>
              </v:rect>
            </w:pict>
          </mc:Fallback>
        </mc:AlternateContent>
      </w:r>
      <w:r>
        <w:rPr>
          <w:rFonts w:asciiTheme="minorEastAsia" w:hAnsiTheme="minorEastAsia" w:eastAsiaTheme="minorEastAsia"/>
          <w:sz w:val="22"/>
          <w:szCs w:val="22"/>
        </w:rPr>
        <w:t>画网络图</w:t>
      </w:r>
    </w:p>
    <w:tbl>
      <w:tblPr>
        <w:tblStyle w:val="5"/>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工作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紧前工序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B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E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F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G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H</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L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M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L F </w:t>
            </w:r>
          </w:p>
        </w:tc>
      </w:tr>
    </w:tbl>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画网络图</w:t>
      </w:r>
    </w:p>
    <w:tbl>
      <w:tblPr>
        <w:tblStyle w:val="5"/>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工作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mc:AlternateContent>
                <mc:Choice Requires="wps">
                  <w:drawing>
                    <wp:anchor distT="0" distB="0" distL="114300" distR="114300" simplePos="0" relativeHeight="251706368" behindDoc="0" locked="0" layoutInCell="1" allowOverlap="1">
                      <wp:simplePos x="0" y="0"/>
                      <wp:positionH relativeFrom="column">
                        <wp:posOffset>772795</wp:posOffset>
                      </wp:positionH>
                      <wp:positionV relativeFrom="paragraph">
                        <wp:posOffset>13970</wp:posOffset>
                      </wp:positionV>
                      <wp:extent cx="4800600" cy="2038350"/>
                      <wp:effectExtent l="6350" t="6350" r="12700" b="12700"/>
                      <wp:wrapNone/>
                      <wp:docPr id="247" name="矩形 247"/>
                      <wp:cNvGraphicFramePr/>
                      <a:graphic xmlns:a="http://schemas.openxmlformats.org/drawingml/2006/main">
                        <a:graphicData uri="http://schemas.microsoft.com/office/word/2010/wordprocessingShape">
                          <wps:wsp>
                            <wps:cNvSpPr/>
                            <wps:spPr>
                              <a:xfrm>
                                <a:off x="0" y="0"/>
                                <a:ext cx="4800600" cy="2038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85pt;margin-top:1.1pt;height:160.5pt;width:378pt;z-index:251706368;v-text-anchor:middle;mso-width-relative:page;mso-height-relative:page;" fillcolor="#FFFFFF [3201]" filled="t" stroked="t" coordsize="21600,21600" o:gfxdata="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kHzdcA&#10;AAAJAQAADwAAAAAAAAABACAAAAAiAAAAZHJzL2Rvd25yZXYueG1sUEsBAhQAFAAAAAgAh07iQJbp&#10;b8pZAgAAqwQAAA4AAAAAAAAAAQAgAAAAJgEAAGRycy9lMm9Eb2MueG1sUEsFBgAAAAAGAAYAWQEA&#10;APEFAAAAAA==&#10;">
                      <v:fill on="t" focussize="0,0"/>
                      <v:stroke weight="1pt" color="#70AD47 [3209]" miterlimit="8" joinstyle="miter"/>
                      <v:imagedata o:title=""/>
                      <o:lock v:ext="edit" aspectratio="f"/>
                    </v:rect>
                  </w:pict>
                </mc:Fallback>
              </mc:AlternateContent>
            </w:r>
            <w:r>
              <w:rPr>
                <w:rFonts w:hint="eastAsia" w:cs="Arial" w:asciiTheme="minorEastAsia" w:hAnsiTheme="minorEastAsia" w:eastAsiaTheme="minorEastAsia"/>
                <w:kern w:val="24"/>
                <w:sz w:val="22"/>
                <w:szCs w:val="22"/>
              </w:rPr>
              <w:t xml:space="preserve">紧前工序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B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E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F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G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H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I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FGH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J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GH </w:t>
            </w:r>
          </w:p>
        </w:tc>
      </w:tr>
    </w:tbl>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hint="eastAsia" w:cs="Arial" w:asciiTheme="minorEastAsia" w:hAnsiTheme="minorEastAsia" w:eastAsiaTheme="minorEastAsia"/>
          <w:kern w:val="24"/>
          <w:sz w:val="22"/>
          <w:szCs w:val="22"/>
        </w:rPr>
        <mc:AlternateContent>
          <mc:Choice Requires="wps">
            <w:drawing>
              <wp:anchor distT="0" distB="0" distL="114300" distR="114300" simplePos="0" relativeHeight="251707392" behindDoc="0" locked="0" layoutInCell="1" allowOverlap="1">
                <wp:simplePos x="0" y="0"/>
                <wp:positionH relativeFrom="column">
                  <wp:posOffset>1189355</wp:posOffset>
                </wp:positionH>
                <wp:positionV relativeFrom="paragraph">
                  <wp:posOffset>201295</wp:posOffset>
                </wp:positionV>
                <wp:extent cx="4886960" cy="1914525"/>
                <wp:effectExtent l="6350" t="6350" r="21590" b="22225"/>
                <wp:wrapNone/>
                <wp:docPr id="248" name="矩形 248"/>
                <wp:cNvGraphicFramePr/>
                <a:graphic xmlns:a="http://schemas.openxmlformats.org/drawingml/2006/main">
                  <a:graphicData uri="http://schemas.microsoft.com/office/word/2010/wordprocessingShape">
                    <wps:wsp>
                      <wps:cNvSpPr/>
                      <wps:spPr>
                        <a:xfrm>
                          <a:off x="0" y="0"/>
                          <a:ext cx="4886960" cy="1914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65pt;margin-top:15.85pt;height:150.75pt;width:384.8pt;z-index:251707392;v-text-anchor:middle;mso-width-relative:page;mso-height-relative:page;" fillcolor="#FFFFFF [3201]" filled="t" stroked="t" coordsize="21600,21600" o:gfxdata="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fMn1&#10;2QAAAAoBAAAPAAAAAAAAAAEAIAAAACIAAABkcnMvZG93bnJldi54bWxQSwECFAAUAAAACACHTuJA&#10;fuqav1kCAACrBAAADgAAAAAAAAABACAAAAAoAQAAZHJzL2Uyb0RvYy54bWxQSwUGAAAAAAYABgBZ&#10;AQAA8wUAAAAA&#10;">
                <v:fill on="t" focussize="0,0"/>
                <v:stroke weight="1pt" color="#70AD47 [3209]" miterlimit="8" joinstyle="miter"/>
                <v:imagedata o:title=""/>
                <o:lock v:ext="edit" aspectratio="f"/>
              </v:rect>
            </w:pict>
          </mc:Fallback>
        </mc:AlternateContent>
      </w:r>
      <w:r>
        <w:rPr>
          <w:rFonts w:asciiTheme="minorEastAsia" w:hAnsiTheme="minorEastAsia" w:eastAsiaTheme="minorEastAsia"/>
          <w:sz w:val="22"/>
          <w:szCs w:val="22"/>
        </w:rPr>
        <w:t>画网络图</w:t>
      </w:r>
    </w:p>
    <w:tbl>
      <w:tblPr>
        <w:tblStyle w:val="5"/>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工作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紧前工序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B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E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F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CDE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G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H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I </w:t>
            </w:r>
          </w:p>
        </w:tc>
        <w:tc>
          <w:tcPr>
            <w:tcW w:w="1096" w:type="dxa"/>
            <w:vAlign w:val="center"/>
          </w:tcPr>
          <w:p>
            <w:pPr>
              <w:pStyle w:val="2"/>
              <w:spacing w:before="0" w:beforeAutospacing="0" w:after="0" w:afterAutospacing="0"/>
              <w:jc w:val="both"/>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 xml:space="preserve">FGH </w:t>
            </w:r>
          </w:p>
        </w:tc>
      </w:tr>
    </w:tbl>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节点法计算工期</w:t>
      </w:r>
    </w:p>
    <w:p>
      <w:pPr>
        <w:adjustRightInd w:val="0"/>
        <w:snapToGrid w:val="0"/>
        <w:spacing w:line="312" w:lineRule="auto"/>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drawing>
          <wp:inline distT="0" distB="0" distL="0" distR="0">
            <wp:extent cx="5486400" cy="281940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86400" cy="2819400"/>
                    </a:xfrm>
                    <a:prstGeom prst="rect">
                      <a:avLst/>
                    </a:prstGeom>
                    <a:noFill/>
                    <a:ln>
                      <a:noFill/>
                    </a:ln>
                  </pic:spPr>
                </pic:pic>
              </a:graphicData>
            </a:graphic>
          </wp:inline>
        </w:drawing>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六时计算</w:t>
      </w:r>
    </w:p>
    <w:tbl>
      <w:tblPr>
        <w:tblStyle w:val="5"/>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3289"/>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最早开始①</w:t>
            </w:r>
          </w:p>
        </w:tc>
        <w:tc>
          <w:tcPr>
            <w:tcW w:w="328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最迟必须开始④</w:t>
            </w:r>
          </w:p>
        </w:tc>
        <w:tc>
          <w:tcPr>
            <w:tcW w:w="3290"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总时差⑤=④-①=③-②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最早结束②</w:t>
            </w:r>
          </w:p>
        </w:tc>
        <w:tc>
          <w:tcPr>
            <w:tcW w:w="3289"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最迟必须结束③</w:t>
            </w:r>
          </w:p>
        </w:tc>
        <w:tc>
          <w:tcPr>
            <w:tcW w:w="3290" w:type="dxa"/>
            <w:vAlign w:val="center"/>
          </w:tcPr>
          <w:p>
            <w:pPr>
              <w:pStyle w:val="2"/>
              <w:spacing w:before="0" w:beforeAutospacing="0" w:after="0" w:afterAutospacing="0"/>
              <w:jc w:val="center"/>
              <w:rPr>
                <w:rFonts w:cs="Arial" w:asciiTheme="minorEastAsia" w:hAnsiTheme="minorEastAsia" w:eastAsiaTheme="minorEastAsia"/>
                <w:sz w:val="22"/>
                <w:szCs w:val="22"/>
              </w:rPr>
            </w:pPr>
            <w:r>
              <w:rPr>
                <w:rFonts w:hint="eastAsia" w:cs="Arial" w:asciiTheme="minorEastAsia" w:hAnsiTheme="minorEastAsia" w:eastAsiaTheme="minorEastAsia"/>
                <w:kern w:val="24"/>
                <w:sz w:val="22"/>
                <w:szCs w:val="22"/>
              </w:rPr>
              <w:t>自由时差⑥</w:t>
            </w:r>
          </w:p>
        </w:tc>
      </w:tr>
    </w:tbl>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自由时差：是不影响紧后工序最早开始可利用的时间</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结束点工序的自由时差=T</w:t>
      </w:r>
      <w:r>
        <w:rPr>
          <w:rFonts w:asciiTheme="minorEastAsia" w:hAnsiTheme="minorEastAsia" w:eastAsiaTheme="minorEastAsia"/>
          <w:sz w:val="22"/>
          <w:szCs w:val="22"/>
          <w:vertAlign w:val="subscript"/>
        </w:rPr>
        <w:t>P</w:t>
      </w:r>
      <w:r>
        <w:rPr>
          <w:rFonts w:asciiTheme="minorEastAsia" w:hAnsiTheme="minorEastAsia" w:eastAsiaTheme="minorEastAsia"/>
          <w:sz w:val="22"/>
          <w:szCs w:val="22"/>
        </w:rPr>
        <w:t>-自己的最早结束时间</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其他工序的自由时差=</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紧后工序的最早开始的时间-自己的最早结束时间</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六时计算</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drawing>
          <wp:inline distT="0" distB="0" distL="0" distR="0">
            <wp:extent cx="5486400" cy="2819400"/>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86400" cy="2819400"/>
                    </a:xfrm>
                    <a:prstGeom prst="rect">
                      <a:avLst/>
                    </a:prstGeom>
                    <a:noFill/>
                    <a:ln>
                      <a:noFill/>
                    </a:ln>
                  </pic:spPr>
                </pic:pic>
              </a:graphicData>
            </a:graphic>
          </wp:inline>
        </w:drawing>
      </w:r>
    </w:p>
    <w:p>
      <w:pPr>
        <w:adjustRightInd w:val="0"/>
        <w:snapToGrid w:val="0"/>
        <w:spacing w:line="312" w:lineRule="auto"/>
        <w:ind w:left="36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偏差分析</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对紧后工作最早开始时间的影响</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看自己的自由时差</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影响的时间=延误时间-自己的自由时差</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对紧后工作最迟必须开始时间的影响</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 xml:space="preserve">看自己的总时差 </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对计划工期的影响</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看自己的总时差</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影响的时间=延误时间-自己的总时差</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进度偏差调整</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若工作的进度偏差大于该工作的自由时差，此偏差对后续工作产生影响，如何调整应根据后续工作允许影响的程度而定。</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若工作的进度偏差大于该工作的总时差，</w:t>
      </w:r>
      <w:r>
        <w:rPr>
          <w:rFonts w:asciiTheme="minorEastAsia" w:hAnsiTheme="minorEastAsia" w:eastAsiaTheme="minorEastAsia"/>
          <w:sz w:val="22"/>
          <w:szCs w:val="22"/>
        </w:rPr>
        <w:t>此偏差必将影响后续工作和总工期，必须采取相应的调整措施。</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 xml:space="preserve">施工进度计划的调整方法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1.改变某些工作间的衔接关系（需要符合工艺条件）</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2.缩短某些工作的持续时间（有压缩空间的）</w:t>
      </w:r>
    </w:p>
    <w:p>
      <w:pPr>
        <w:adjustRightInd w:val="0"/>
        <w:snapToGrid w:val="0"/>
        <w:spacing w:line="312" w:lineRule="auto"/>
        <w:ind w:left="44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调整原则</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调整的对象必须是关键工作，并且该工作有压缩潜力，同时与其他可压缩的工作相比赶工费用低。</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注意：压缩关键工序时间时注意非关键工作上的调整。不能发生调整后非关键线路时间超过关键线路时间。</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【例题·案例】进度计划调整原则的应用</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B工作设计变更等了15天，要按原计划工期完工，</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如何赶工，成本最低？</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drawing>
          <wp:inline distT="0" distB="0" distL="0" distR="0">
            <wp:extent cx="5486400" cy="2466975"/>
            <wp:effectExtent l="0" t="0" r="0" b="9525"/>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86400" cy="2466975"/>
                    </a:xfrm>
                    <a:prstGeom prst="rect">
                      <a:avLst/>
                    </a:prstGeom>
                    <a:noFill/>
                    <a:ln>
                      <a:noFill/>
                    </a:ln>
                  </pic:spPr>
                </pic:pic>
              </a:graphicData>
            </a:graphic>
          </wp:inline>
        </w:drawing>
      </w: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赢得值、曲线法偏差分析</w:t>
      </w:r>
      <w:r>
        <w:rPr>
          <w:rFonts w:hint="eastAsia" w:ascii="宋体" w:hAnsi="宋体"/>
          <w:b/>
          <w:sz w:val="22"/>
        </w:rPr>
        <w:t>【重要】</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drawing>
          <wp:anchor distT="0" distB="0" distL="114300" distR="114300" simplePos="0" relativeHeight="251708416" behindDoc="1" locked="0" layoutInCell="1" allowOverlap="1">
            <wp:simplePos x="0" y="0"/>
            <wp:positionH relativeFrom="column">
              <wp:posOffset>226695</wp:posOffset>
            </wp:positionH>
            <wp:positionV relativeFrom="paragraph">
              <wp:posOffset>94615</wp:posOffset>
            </wp:positionV>
            <wp:extent cx="1895475" cy="1941195"/>
            <wp:effectExtent l="0" t="0" r="9525" b="1905"/>
            <wp:wrapSquare wrapText="bothSides"/>
            <wp:docPr id="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4"/>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a:xfrm>
                      <a:off x="0" y="0"/>
                      <a:ext cx="1895475" cy="1941195"/>
                    </a:xfrm>
                    <a:prstGeom prst="rect">
                      <a:avLst/>
                    </a:prstGeom>
                    <a:noFill/>
                    <a:ln>
                      <a:noFill/>
                    </a:ln>
                  </pic:spPr>
                </pic:pic>
              </a:graphicData>
            </a:graphic>
          </wp:anchor>
        </w:drawing>
      </w:r>
      <w:r>
        <w:rPr>
          <w:rFonts w:asciiTheme="minorEastAsia" w:hAnsiTheme="minorEastAsia" w:eastAsiaTheme="minorEastAsia"/>
          <w:sz w:val="22"/>
          <w:szCs w:val="22"/>
        </w:rPr>
        <w:t xml:space="preserve">     </w:t>
      </w:r>
    </w:p>
    <w:p>
      <w:pPr>
        <w:adjustRightInd w:val="0"/>
        <w:snapToGrid w:val="0"/>
        <w:spacing w:line="312" w:lineRule="auto"/>
        <w:ind w:firstLine="660" w:firstLineChars="300"/>
        <w:rPr>
          <w:rFonts w:asciiTheme="minorEastAsia" w:hAnsiTheme="minorEastAsia" w:eastAsiaTheme="minorEastAsia"/>
          <w:sz w:val="22"/>
          <w:szCs w:val="22"/>
        </w:rPr>
      </w:pPr>
    </w:p>
    <w:p>
      <w:pPr>
        <w:adjustRightInd w:val="0"/>
        <w:snapToGrid w:val="0"/>
        <w:spacing w:line="312" w:lineRule="auto"/>
        <w:ind w:firstLine="660" w:firstLineChars="300"/>
        <w:rPr>
          <w:rFonts w:asciiTheme="minorEastAsia" w:hAnsiTheme="minorEastAsia" w:eastAsiaTheme="minorEastAsia"/>
          <w:sz w:val="22"/>
          <w:szCs w:val="22"/>
        </w:rPr>
      </w:pPr>
      <w:r>
        <w:rPr>
          <w:rFonts w:asciiTheme="minorEastAsia" w:hAnsiTheme="minorEastAsia" w:eastAsiaTheme="minorEastAsia"/>
          <w:sz w:val="22"/>
          <w:szCs w:val="22"/>
        </w:rPr>
        <w:t>分析：BCWP ＞ BCWS ＞ ACWP</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（这是比较满意的状况）</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BCWP ＞ BCWS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已完工作预算费用＞计划工作预算费用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BCWP ＞ ACWP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已完工作预算费用＞已完工作实际费用</w:t>
      </w:r>
    </w:p>
    <w:p>
      <w:pPr>
        <w:adjustRightInd w:val="0"/>
        <w:snapToGrid w:val="0"/>
        <w:spacing w:line="312" w:lineRule="auto"/>
        <w:ind w:firstLine="440" w:firstLineChars="200"/>
        <w:rPr>
          <w:rFonts w:asciiTheme="minorEastAsia" w:hAnsiTheme="minorEastAsia" w:eastAsiaTheme="minorEastAsia"/>
          <w:sz w:val="22"/>
          <w:szCs w:val="22"/>
        </w:rPr>
      </w:pP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赢得值分析</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费用偏差CV=BCWP-ACWP</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已完工作</w:t>
      </w:r>
      <w:r>
        <w:rPr>
          <w:rFonts w:asciiTheme="minorEastAsia" w:hAnsiTheme="minorEastAsia" w:eastAsiaTheme="minorEastAsia"/>
          <w:color w:val="FF0000"/>
          <w:sz w:val="22"/>
          <w:szCs w:val="22"/>
          <w:bdr w:val="single" w:color="auto" w:sz="4" w:space="0"/>
        </w:rPr>
        <w:t>预算费用</w:t>
      </w:r>
      <w:r>
        <w:rPr>
          <w:rFonts w:asciiTheme="minorEastAsia" w:hAnsiTheme="minorEastAsia" w:eastAsiaTheme="minorEastAsia"/>
          <w:sz w:val="22"/>
          <w:szCs w:val="22"/>
        </w:rPr>
        <w:t xml:space="preserve"> – 已完工作</w:t>
      </w:r>
      <w:r>
        <w:rPr>
          <w:rFonts w:asciiTheme="minorEastAsia" w:hAnsiTheme="minorEastAsia" w:eastAsiaTheme="minorEastAsia"/>
          <w:color w:val="FF0000"/>
          <w:sz w:val="22"/>
          <w:szCs w:val="22"/>
          <w:bdr w:val="single" w:color="auto" w:sz="4" w:space="0"/>
        </w:rPr>
        <w:t>实际费用</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＞0 节约；＜0 超支</w:t>
      </w:r>
      <w:r>
        <w:rPr>
          <w:rFonts w:asciiTheme="minorEastAsia" w:hAnsiTheme="minorEastAsia" w:eastAsiaTheme="minorEastAsia"/>
          <w:sz w:val="22"/>
          <w:szCs w:val="22"/>
        </w:rPr>
        <w:t>；</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进度偏差SV= BCWP-BCWS</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已完工作</w:t>
      </w:r>
      <w:r>
        <w:rPr>
          <w:rFonts w:asciiTheme="minorEastAsia" w:hAnsiTheme="minorEastAsia" w:eastAsiaTheme="minorEastAsia"/>
          <w:sz w:val="22"/>
          <w:szCs w:val="22"/>
        </w:rPr>
        <w:t xml:space="preserve">预算费用- </w:t>
      </w:r>
      <w:r>
        <w:rPr>
          <w:rFonts w:asciiTheme="minorEastAsia" w:hAnsiTheme="minorEastAsia" w:eastAsiaTheme="minorEastAsia"/>
          <w:color w:val="FF0000"/>
          <w:sz w:val="22"/>
          <w:szCs w:val="22"/>
          <w:bdr w:val="single" w:color="auto" w:sz="4" w:space="0"/>
        </w:rPr>
        <w:t>计划工作</w:t>
      </w:r>
      <w:r>
        <w:rPr>
          <w:rFonts w:asciiTheme="minorEastAsia" w:hAnsiTheme="minorEastAsia" w:eastAsiaTheme="minorEastAsia"/>
          <w:sz w:val="22"/>
          <w:szCs w:val="22"/>
        </w:rPr>
        <w:t xml:space="preserve">预算费用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＞0 超前；＜0 延误</w:t>
      </w:r>
      <w:r>
        <w:rPr>
          <w:rFonts w:asciiTheme="minorEastAsia" w:hAnsiTheme="minorEastAsia" w:eastAsiaTheme="minorEastAsia"/>
          <w:sz w:val="22"/>
          <w:szCs w:val="22"/>
        </w:rPr>
        <w:t>；</w:t>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绩效指数</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CPI=BCWP/ACWP  小于1，超支</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SPI=BCWP/BCWS   小于1，进度延误</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BCWP（已完工作预算费用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ACWP（已完工作实际费用 ）</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BCWS（计划工作预算费用）</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三条线可以有六种情形，</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进行偏差分析写出控制措施</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如，</w:t>
      </w:r>
    </w:p>
    <w:p>
      <w:pPr>
        <w:adjustRightInd w:val="0"/>
        <w:snapToGrid w:val="0"/>
        <w:spacing w:line="312" w:lineRule="auto"/>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drawing>
          <wp:inline distT="0" distB="0" distL="0" distR="0">
            <wp:extent cx="2892425" cy="1685925"/>
            <wp:effectExtent l="0" t="0" r="3175" b="9525"/>
            <wp:docPr id="2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
                    <pic:cNvPicPr>
                      <a:picLocks noChangeAspect="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891209" cy="1684943"/>
                    </a:xfrm>
                    <a:prstGeom prst="rect">
                      <a:avLst/>
                    </a:prstGeom>
                  </pic:spPr>
                </pic:pic>
              </a:graphicData>
            </a:graphic>
          </wp:inline>
        </w:drawing>
      </w:r>
    </w:p>
    <w:p>
      <w:pPr>
        <w:adjustRightInd w:val="0"/>
        <w:snapToGrid w:val="0"/>
        <w:spacing w:line="312" w:lineRule="auto"/>
        <w:ind w:firstLine="440" w:firstLineChars="200"/>
        <w:rPr>
          <w:rFonts w:asciiTheme="minorEastAsia" w:hAnsiTheme="minorEastAsia" w:eastAsiaTheme="minorEastAsia"/>
          <w:color w:val="FF0000"/>
          <w:sz w:val="22"/>
          <w:szCs w:val="22"/>
          <w:bdr w:val="single" w:color="auto" w:sz="4" w:space="0"/>
        </w:rPr>
      </w:pPr>
      <w:r>
        <w:rPr>
          <w:rFonts w:asciiTheme="minorEastAsia" w:hAnsiTheme="minorEastAsia" w:eastAsiaTheme="minorEastAsia"/>
          <w:color w:val="FF0000"/>
          <w:sz w:val="22"/>
          <w:szCs w:val="22"/>
          <w:bdr w:val="single" w:color="auto" w:sz="4" w:space="0"/>
        </w:rPr>
        <w:t>ACWP＞BCWS＞BCWP</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分析</w:t>
      </w:r>
      <w:r>
        <w:rPr>
          <w:rFonts w:asciiTheme="minorEastAsia" w:hAnsiTheme="minorEastAsia" w:eastAsiaTheme="minorEastAsia"/>
          <w:sz w:val="22"/>
          <w:szCs w:val="22"/>
        </w:rPr>
        <w:t>：效率低、进度较慢、投入超前</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color w:val="FF0000"/>
          <w:sz w:val="22"/>
          <w:szCs w:val="22"/>
          <w:bdr w:val="single" w:color="auto" w:sz="4" w:space="0"/>
        </w:rPr>
        <w:t>措施</w:t>
      </w:r>
      <w:r>
        <w:rPr>
          <w:rFonts w:asciiTheme="minorEastAsia" w:hAnsiTheme="minorEastAsia" w:eastAsiaTheme="minorEastAsia"/>
          <w:sz w:val="22"/>
          <w:szCs w:val="22"/>
        </w:rPr>
        <w:t>：用工作效率高的人员更换一批工作效率低的人员</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课后练习【案例1H420080-3】</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通过本案例的练习要求会看横道图、会画网络图</w:t>
      </w:r>
    </w:p>
    <w:p>
      <w:pPr>
        <w:adjustRightInd w:val="0"/>
        <w:snapToGrid w:val="0"/>
        <w:spacing w:line="312" w:lineRule="auto"/>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drawing>
          <wp:inline distT="0" distB="0" distL="0" distR="0">
            <wp:extent cx="5486400" cy="2828925"/>
            <wp:effectExtent l="0" t="0" r="0" b="9525"/>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2828925"/>
                    </a:xfrm>
                    <a:prstGeom prst="rect">
                      <a:avLst/>
                    </a:prstGeom>
                    <a:noFill/>
                    <a:ln>
                      <a:noFill/>
                    </a:ln>
                  </pic:spPr>
                </pic:pic>
              </a:graphicData>
            </a:graphic>
          </wp:inline>
        </w:drawing>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1H420090机电工程施工成本管理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施工成本计划编制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施工成本计划实施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施工成本计划分析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施工成本控制措施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1H420100机电工程施工预结算</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施工图预算及安装定额的应用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工程量清单的组成与应用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工程进度款的支付规定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竣工结算的应用</w:t>
      </w:r>
    </w:p>
    <w:p>
      <w:pPr>
        <w:adjustRightInd w:val="0"/>
        <w:snapToGrid w:val="0"/>
        <w:spacing w:line="312" w:lineRule="auto"/>
        <w:ind w:firstLine="440" w:firstLineChars="200"/>
        <w:jc w:val="left"/>
        <w:rPr>
          <w:rFonts w:hint="eastAsia" w:ascii="宋体" w:hAnsi="宋体"/>
          <w:sz w:val="22"/>
          <w:szCs w:val="22"/>
        </w:rPr>
      </w:pPr>
      <w:r>
        <w:rPr>
          <w:rFonts w:hint="eastAsia" w:ascii="宋体" w:hAnsi="宋体"/>
          <w:sz w:val="22"/>
          <w:szCs w:val="22"/>
        </w:rPr>
        <w:t>（略）</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1H420110机电工程施工现场职业健康安全与环境管理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风险管理策划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应急预案的分类与实施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职业健康和安全实施要求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绿色施工实施要求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文明施工实施要求</w:t>
      </w:r>
    </w:p>
    <w:p>
      <w:pPr>
        <w:numPr>
          <w:ilvl w:val="0"/>
          <w:numId w:val="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职业健康、安全与环境风险的识别</w:t>
      </w:r>
    </w:p>
    <w:p>
      <w:pPr>
        <w:numPr>
          <w:ilvl w:val="0"/>
          <w:numId w:val="2"/>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应重点进行风险识别的作业</w:t>
      </w:r>
      <w:r>
        <w:rPr>
          <w:rFonts w:hint="eastAsia" w:ascii="宋体" w:hAnsi="宋体"/>
          <w:sz w:val="22"/>
          <w:szCs w:val="22"/>
        </w:rPr>
        <w:t>【重要】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根据施工现场作业特点，应进行重点风险识别的作业有——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1.不熟悉的作业，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如采用新材料、新工艺、新设备、新技术的“四新”作业。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2.临时作业，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如维修作业、脚手架搭设作业。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造成事故最多的作业，如动火作业。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3.存在严重伤害危险的作业，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如起重吊装作业。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4.已有控制措施不足以把风险降到可接受范围的作业。</w:t>
      </w:r>
    </w:p>
    <w:p>
      <w:pPr>
        <w:numPr>
          <w:ilvl w:val="0"/>
          <w:numId w:val="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职业健康、安全与环境风险的评价</w:t>
      </w:r>
    </w:p>
    <w:p>
      <w:pPr>
        <w:numPr>
          <w:ilvl w:val="0"/>
          <w:numId w:val="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职业健康、安全风险评价方法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（1）主要有：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工作危害分析（JHA）；</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作业条件危险性分析法（LEC）；</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安全检查表法（SCL）。</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（2）风险评价应采用</w:t>
      </w:r>
      <w:r>
        <w:rPr>
          <w:rFonts w:ascii="宋体" w:hAnsi="宋体"/>
          <w:color w:val="FF0000"/>
          <w:sz w:val="22"/>
          <w:szCs w:val="22"/>
          <w:bdr w:val="single" w:color="auto" w:sz="4" w:space="0"/>
        </w:rPr>
        <w:t>定性描述</w:t>
      </w:r>
      <w:r>
        <w:rPr>
          <w:rFonts w:ascii="宋体" w:hAnsi="宋体"/>
          <w:sz w:val="22"/>
          <w:szCs w:val="22"/>
        </w:rPr>
        <w:t>与</w:t>
      </w:r>
      <w:r>
        <w:rPr>
          <w:rFonts w:ascii="宋体" w:hAnsi="宋体"/>
          <w:color w:val="FF0000"/>
          <w:sz w:val="22"/>
          <w:szCs w:val="22"/>
          <w:bdr w:val="single" w:color="auto" w:sz="4" w:space="0"/>
        </w:rPr>
        <w:t>定量分析相结合</w:t>
      </w:r>
      <w:r>
        <w:rPr>
          <w:rFonts w:ascii="宋体" w:hAnsi="宋体"/>
          <w:sz w:val="22"/>
          <w:szCs w:val="22"/>
        </w:rPr>
        <w:t>的方法，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对工程施工面临的风险做出全面的估计。</w:t>
      </w:r>
    </w:p>
    <w:p>
      <w:pPr>
        <w:numPr>
          <w:ilvl w:val="0"/>
          <w:numId w:val="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职业健康、安全与环境风险的控制</w:t>
      </w:r>
    </w:p>
    <w:p>
      <w:pPr>
        <w:numPr>
          <w:ilvl w:val="0"/>
          <w:numId w:val="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风险控制的不同阶段   阅读了解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w:t>
      </w:r>
      <w:r>
        <w:rPr>
          <w:rFonts w:ascii="宋体" w:hAnsi="宋体"/>
          <w:color w:val="FF0000"/>
          <w:sz w:val="22"/>
          <w:szCs w:val="22"/>
          <w:bdr w:val="single" w:color="auto" w:sz="4" w:space="0"/>
        </w:rPr>
        <w:t>事前控制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编制施工技术方案，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依据风险评价结果，制定风险削减措施等。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w:t>
      </w:r>
      <w:r>
        <w:rPr>
          <w:rFonts w:ascii="宋体" w:hAnsi="宋体"/>
          <w:color w:val="FF0000"/>
          <w:sz w:val="22"/>
          <w:szCs w:val="22"/>
          <w:bdr w:val="single" w:color="auto" w:sz="4" w:space="0"/>
        </w:rPr>
        <w:t>施工现场（过程）控制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生产、安全、技术等管理人员深入现场，</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指导、监督施工作业的活动。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w:t>
      </w:r>
      <w:r>
        <w:rPr>
          <w:rFonts w:ascii="宋体" w:hAnsi="宋体"/>
          <w:color w:val="FF0000"/>
          <w:sz w:val="22"/>
          <w:szCs w:val="22"/>
          <w:bdr w:val="single" w:color="auto" w:sz="4" w:space="0"/>
        </w:rPr>
        <w:t>事后控制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风险控制分析总结、分析事故原因等。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续，职业健康、安全与环境风险的控制</w:t>
      </w:r>
    </w:p>
    <w:p>
      <w:pPr>
        <w:numPr>
          <w:ilvl w:val="0"/>
          <w:numId w:val="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风险控制的技术措施与管理措施（选择题）</w:t>
      </w:r>
    </w:p>
    <w:p>
      <w:pPr>
        <w:adjustRightInd w:val="0"/>
        <w:snapToGrid w:val="0"/>
        <w:spacing w:line="312" w:lineRule="auto"/>
        <w:ind w:firstLine="440" w:firstLineChars="200"/>
        <w:jc w:val="left"/>
        <w:rPr>
          <w:rFonts w:ascii="宋体" w:hAnsi="宋体"/>
          <w:sz w:val="22"/>
          <w:szCs w:val="22"/>
        </w:rPr>
      </w:pPr>
      <w:r>
        <w:rPr>
          <w:rFonts w:ascii="宋体" w:hAnsi="宋体"/>
          <w:color w:val="FF0000"/>
          <w:sz w:val="22"/>
          <w:szCs w:val="22"/>
          <w:bdr w:val="single" w:color="auto" w:sz="4" w:space="0"/>
        </w:rPr>
        <w:t>风险控制技术措施</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消除风险的措施；降低风险的措施；控制风险的措施。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如，对施工现场产生“……”的风险评价及风险管理。</w:t>
      </w:r>
    </w:p>
    <w:p>
      <w:pPr>
        <w:adjustRightInd w:val="0"/>
        <w:snapToGrid w:val="0"/>
        <w:spacing w:line="312" w:lineRule="auto"/>
        <w:ind w:firstLine="440" w:firstLineChars="200"/>
        <w:jc w:val="left"/>
        <w:rPr>
          <w:rFonts w:ascii="宋体" w:hAnsi="宋体"/>
          <w:sz w:val="22"/>
          <w:szCs w:val="22"/>
        </w:rPr>
      </w:pPr>
      <w:r>
        <w:rPr>
          <w:rFonts w:ascii="宋体" w:hAnsi="宋体"/>
          <w:color w:val="FF0000"/>
          <w:sz w:val="22"/>
          <w:szCs w:val="22"/>
          <w:bdr w:val="single" w:color="auto" w:sz="4" w:space="0"/>
        </w:rPr>
        <w:t>风险控制管理措施</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制定、完善管理程序和操作规程；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制定、落实风险监控管理措施；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制定、落实应急预案；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加强员工的职业健康、安全和环境教育培训；</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建立检查监督和奖惩机制。</w:t>
      </w:r>
    </w:p>
    <w:p>
      <w:pPr>
        <w:numPr>
          <w:ilvl w:val="0"/>
          <w:numId w:val="8"/>
        </w:numPr>
        <w:adjustRightInd w:val="0"/>
        <w:snapToGrid w:val="0"/>
        <w:spacing w:line="312" w:lineRule="auto"/>
        <w:ind w:left="0" w:firstLine="440" w:firstLineChars="200"/>
        <w:jc w:val="left"/>
        <w:rPr>
          <w:rFonts w:ascii="宋体" w:hAnsi="宋体"/>
          <w:sz w:val="22"/>
          <w:szCs w:val="22"/>
        </w:rPr>
      </w:pPr>
      <w:r>
        <w:rPr>
          <w:rFonts w:ascii="宋体" w:hAnsi="宋体"/>
          <w:color w:val="FF0000"/>
          <w:sz w:val="22"/>
          <w:szCs w:val="22"/>
          <w:bdr w:val="single" w:color="auto" w:sz="4" w:space="0"/>
        </w:rPr>
        <w:t>施工现场突发事件分类</w:t>
      </w:r>
      <w:r>
        <w:rPr>
          <w:rFonts w:ascii="宋体" w:hAnsi="宋体"/>
          <w:sz w:val="22"/>
          <w:szCs w:val="22"/>
        </w:rPr>
        <w:t xml:space="preserve">   阅读了解，选择题</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1.施工生产事件:主要包括坍塌事件、触电事件、起重吊装事件、物体打击事件、高处坠落事件、火灾爆炸事件、职业中毒窒息事件、放射性事件、环境事件等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2.自然灾害事件:主要指破坏性地震、气象灾害等。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3.公共卫生事件:主要指突发重大食物中毒、重大公共卫生事件等。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w:t>
      </w:r>
      <w:r>
        <w:rPr>
          <w:rFonts w:ascii="宋体" w:hAnsi="宋体"/>
          <w:color w:val="FF0000"/>
          <w:sz w:val="22"/>
          <w:szCs w:val="22"/>
          <w:bdr w:val="single" w:color="auto" w:sz="4" w:space="0"/>
        </w:rPr>
        <w:t>社会安全事件</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群体性事件、公共聚集场所事件、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恐怖袭击事件、境外事件、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计算机信息系统损害事件等。</w:t>
      </w:r>
    </w:p>
    <w:p>
      <w:pPr>
        <w:numPr>
          <w:ilvl w:val="0"/>
          <w:numId w:val="9"/>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应急预案的分类与主要内容</w:t>
      </w:r>
      <w:r>
        <w:rPr>
          <w:rFonts w:hint="eastAsia" w:ascii="宋体" w:hAnsi="宋体"/>
          <w:sz w:val="22"/>
          <w:szCs w:val="22"/>
        </w:rPr>
        <w:t>【重要】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w:t>
      </w:r>
      <w:r>
        <w:rPr>
          <w:rFonts w:ascii="宋体" w:hAnsi="宋体"/>
          <w:color w:val="FF0000"/>
          <w:sz w:val="22"/>
          <w:szCs w:val="22"/>
          <w:bdr w:val="single" w:color="auto" w:sz="4" w:space="0"/>
        </w:rPr>
        <w:t>综合应急预案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规定应急组织机构及其职责、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应急预案体系、事故风险描述、</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预警及信息报告、应急响应、保障措施、应急预案管理等内容。</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w:t>
      </w:r>
      <w:r>
        <w:rPr>
          <w:rFonts w:ascii="宋体" w:hAnsi="宋体"/>
          <w:color w:val="FF0000"/>
          <w:sz w:val="22"/>
          <w:szCs w:val="22"/>
          <w:bdr w:val="single" w:color="auto" w:sz="4" w:space="0"/>
        </w:rPr>
        <w:t>专项应急预案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规定应急指挥机构与职责、处置程序和措施等内容。</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w:t>
      </w:r>
      <w:r>
        <w:rPr>
          <w:rFonts w:ascii="宋体" w:hAnsi="宋体"/>
          <w:color w:val="FF0000"/>
          <w:sz w:val="22"/>
          <w:szCs w:val="22"/>
          <w:bdr w:val="single" w:color="auto" w:sz="4" w:space="0"/>
        </w:rPr>
        <w:t>现场处置方案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应当规定应急工作职责、应急处置措施和注意事项等内容。</w:t>
      </w:r>
    </w:p>
    <w:p>
      <w:pPr>
        <w:numPr>
          <w:ilvl w:val="0"/>
          <w:numId w:val="1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职业监控和安全实施要求</w:t>
      </w:r>
    </w:p>
    <w:p>
      <w:pPr>
        <w:numPr>
          <w:ilvl w:val="0"/>
          <w:numId w:val="1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项目职业健康安全管理的职责及制度</w:t>
      </w:r>
    </w:p>
    <w:p>
      <w:pPr>
        <w:numPr>
          <w:ilvl w:val="0"/>
          <w:numId w:val="12"/>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安全生产组织  ——专职安全员的人数配备要求</w:t>
      </w:r>
    </w:p>
    <w:tbl>
      <w:tblPr>
        <w:tblStyle w:val="4"/>
        <w:tblW w:w="10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2411"/>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609" w:type="dxa"/>
            <w:vMerge w:val="restart"/>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按工程合同</w:t>
            </w: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1亿以上</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609" w:type="dxa"/>
            <w:vMerge w:val="continue"/>
            <w:vAlign w:val="center"/>
          </w:tcPr>
          <w:p>
            <w:pPr>
              <w:numPr>
                <w:ilvl w:val="0"/>
                <w:numId w:val="13"/>
              </w:numPr>
              <w:adjustRightInd w:val="0"/>
              <w:snapToGrid w:val="0"/>
              <w:ind w:left="0" w:firstLine="0"/>
              <w:jc w:val="center"/>
              <w:rPr>
                <w:rFonts w:ascii="宋体" w:hAnsi="宋体"/>
                <w:sz w:val="22"/>
                <w:szCs w:val="22"/>
              </w:rPr>
            </w:pP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5000万-1亿</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609" w:type="dxa"/>
            <w:vMerge w:val="continue"/>
            <w:vAlign w:val="center"/>
          </w:tcPr>
          <w:p>
            <w:pPr>
              <w:numPr>
                <w:ilvl w:val="0"/>
                <w:numId w:val="13"/>
              </w:numPr>
              <w:adjustRightInd w:val="0"/>
              <w:snapToGrid w:val="0"/>
              <w:ind w:left="0" w:firstLine="0"/>
              <w:jc w:val="center"/>
              <w:rPr>
                <w:rFonts w:ascii="宋体" w:hAnsi="宋体"/>
                <w:sz w:val="22"/>
                <w:szCs w:val="22"/>
              </w:rPr>
            </w:pP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5000万以下</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609" w:type="dxa"/>
            <w:vMerge w:val="restart"/>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按分包单位</w:t>
            </w:r>
          </w:p>
          <w:p>
            <w:pPr>
              <w:adjustRightInd w:val="0"/>
              <w:snapToGrid w:val="0"/>
              <w:jc w:val="center"/>
              <w:rPr>
                <w:rFonts w:ascii="宋体" w:hAnsi="宋体"/>
                <w:sz w:val="22"/>
                <w:szCs w:val="22"/>
              </w:rPr>
            </w:pPr>
            <w:r>
              <w:rPr>
                <w:rFonts w:hint="eastAsia" w:ascii="宋体" w:hAnsi="宋体"/>
                <w:sz w:val="22"/>
                <w:szCs w:val="22"/>
              </w:rPr>
              <w:t>施工人员</w:t>
            </w: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200人以上</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不少于本单位项目总人数的5‰</w:t>
            </w:r>
          </w:p>
          <w:p>
            <w:pPr>
              <w:adjustRightInd w:val="0"/>
              <w:snapToGrid w:val="0"/>
              <w:jc w:val="center"/>
              <w:rPr>
                <w:rFonts w:ascii="宋体" w:hAnsi="宋体"/>
                <w:sz w:val="22"/>
                <w:szCs w:val="22"/>
              </w:rPr>
            </w:pPr>
            <w:r>
              <w:rPr>
                <w:rFonts w:hint="eastAsia" w:ascii="宋体" w:hAnsi="宋体"/>
                <w:sz w:val="22"/>
                <w:szCs w:val="22"/>
              </w:rPr>
              <w:t>（也不能少于2名）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 w:hRule="atLeast"/>
          <w:jc w:val="center"/>
        </w:trPr>
        <w:tc>
          <w:tcPr>
            <w:tcW w:w="1609" w:type="dxa"/>
            <w:vMerge w:val="continue"/>
            <w:vAlign w:val="center"/>
          </w:tcPr>
          <w:p>
            <w:pPr>
              <w:numPr>
                <w:ilvl w:val="0"/>
                <w:numId w:val="13"/>
              </w:numPr>
              <w:adjustRightInd w:val="0"/>
              <w:snapToGrid w:val="0"/>
              <w:ind w:left="0" w:firstLine="0"/>
              <w:jc w:val="center"/>
              <w:rPr>
                <w:rFonts w:ascii="宋体" w:hAnsi="宋体"/>
                <w:sz w:val="22"/>
                <w:szCs w:val="22"/>
              </w:rPr>
            </w:pP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50-200人</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 w:hRule="atLeast"/>
          <w:jc w:val="center"/>
        </w:trPr>
        <w:tc>
          <w:tcPr>
            <w:tcW w:w="1609" w:type="dxa"/>
            <w:vMerge w:val="continue"/>
            <w:vAlign w:val="center"/>
          </w:tcPr>
          <w:p>
            <w:pPr>
              <w:numPr>
                <w:ilvl w:val="0"/>
                <w:numId w:val="13"/>
              </w:numPr>
              <w:adjustRightInd w:val="0"/>
              <w:snapToGrid w:val="0"/>
              <w:ind w:left="0" w:firstLine="0"/>
              <w:jc w:val="center"/>
              <w:rPr>
                <w:rFonts w:ascii="宋体" w:hAnsi="宋体"/>
                <w:sz w:val="22"/>
                <w:szCs w:val="22"/>
              </w:rPr>
            </w:pPr>
          </w:p>
        </w:tc>
        <w:tc>
          <w:tcPr>
            <w:tcW w:w="2411"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50人以下</w:t>
            </w:r>
          </w:p>
        </w:tc>
        <w:tc>
          <w:tcPr>
            <w:tcW w:w="6016"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 w:hRule="atLeast"/>
          <w:jc w:val="center"/>
        </w:trPr>
        <w:tc>
          <w:tcPr>
            <w:tcW w:w="1609" w:type="dxa"/>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作业班组</w:t>
            </w:r>
          </w:p>
        </w:tc>
        <w:tc>
          <w:tcPr>
            <w:tcW w:w="8427" w:type="dxa"/>
            <w:gridSpan w:val="2"/>
            <w:shd w:val="clear" w:color="auto" w:fill="auto"/>
            <w:tcMar>
              <w:top w:w="96" w:type="dxa"/>
              <w:left w:w="192" w:type="dxa"/>
              <w:bottom w:w="96" w:type="dxa"/>
              <w:right w:w="192" w:type="dxa"/>
            </w:tcMar>
            <w:vAlign w:val="center"/>
          </w:tcPr>
          <w:p>
            <w:pPr>
              <w:adjustRightInd w:val="0"/>
              <w:snapToGrid w:val="0"/>
              <w:jc w:val="center"/>
              <w:rPr>
                <w:rFonts w:ascii="宋体" w:hAnsi="宋体"/>
                <w:sz w:val="22"/>
                <w:szCs w:val="22"/>
              </w:rPr>
            </w:pPr>
            <w:r>
              <w:rPr>
                <w:rFonts w:hint="eastAsia" w:ascii="宋体" w:hAnsi="宋体"/>
                <w:sz w:val="22"/>
                <w:szCs w:val="22"/>
              </w:rPr>
              <w:t>设兼职安全员巡查员</w:t>
            </w:r>
          </w:p>
        </w:tc>
      </w:tr>
    </w:tbl>
    <w:p>
      <w:pPr>
        <w:adjustRightInd w:val="0"/>
        <w:snapToGrid w:val="0"/>
        <w:spacing w:line="312" w:lineRule="auto"/>
        <w:ind w:left="440"/>
        <w:jc w:val="left"/>
        <w:rPr>
          <w:rFonts w:hint="eastAsia" w:ascii="宋体" w:hAnsi="宋体"/>
          <w:b/>
          <w:sz w:val="22"/>
          <w:szCs w:val="22"/>
        </w:rPr>
      </w:pPr>
      <w:r>
        <w:rPr>
          <w:rFonts w:hint="eastAsia" w:ascii="宋体" w:hAnsi="宋体"/>
          <w:b/>
          <w:sz w:val="22"/>
          <w:szCs w:val="22"/>
          <w:highlight w:val="yellow"/>
        </w:rPr>
        <w:t>【提示】专职</w:t>
      </w:r>
      <w:r>
        <w:rPr>
          <w:rFonts w:ascii="宋体" w:hAnsi="宋体"/>
          <w:b/>
          <w:sz w:val="22"/>
          <w:szCs w:val="22"/>
          <w:highlight w:val="yellow"/>
        </w:rPr>
        <w:t>安全员的人数配置在考试中一般</w:t>
      </w:r>
      <w:r>
        <w:rPr>
          <w:rFonts w:hint="eastAsia" w:ascii="宋体" w:hAnsi="宋体"/>
          <w:b/>
          <w:sz w:val="22"/>
          <w:szCs w:val="22"/>
          <w:highlight w:val="yellow"/>
        </w:rPr>
        <w:t>以</w:t>
      </w:r>
      <w:r>
        <w:rPr>
          <w:rFonts w:ascii="宋体" w:hAnsi="宋体"/>
          <w:b/>
          <w:sz w:val="22"/>
          <w:szCs w:val="22"/>
          <w:highlight w:val="yellow"/>
        </w:rPr>
        <w:t>选择</w:t>
      </w:r>
      <w:r>
        <w:rPr>
          <w:rFonts w:hint="eastAsia" w:ascii="宋体" w:hAnsi="宋体"/>
          <w:b/>
          <w:sz w:val="22"/>
          <w:szCs w:val="22"/>
          <w:highlight w:val="yellow"/>
        </w:rPr>
        <w:t>题</w:t>
      </w:r>
      <w:r>
        <w:rPr>
          <w:rFonts w:ascii="宋体" w:hAnsi="宋体"/>
          <w:b/>
          <w:sz w:val="22"/>
          <w:szCs w:val="22"/>
          <w:highlight w:val="yellow"/>
        </w:rPr>
        <w:t>的形式考察</w:t>
      </w:r>
      <w:r>
        <w:rPr>
          <w:rFonts w:hint="eastAsia" w:ascii="宋体" w:hAnsi="宋体"/>
          <w:b/>
          <w:sz w:val="22"/>
          <w:szCs w:val="22"/>
          <w:highlight w:val="yellow"/>
        </w:rPr>
        <w:t>，</w:t>
      </w:r>
      <w:r>
        <w:rPr>
          <w:rFonts w:ascii="宋体" w:hAnsi="宋体"/>
          <w:b/>
          <w:sz w:val="22"/>
          <w:szCs w:val="22"/>
          <w:highlight w:val="yellow"/>
        </w:rPr>
        <w:t>要对数字着重记忆。</w:t>
      </w:r>
    </w:p>
    <w:p>
      <w:pPr>
        <w:numPr>
          <w:ilvl w:val="0"/>
          <w:numId w:val="1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安全生产管理技术</w:t>
      </w:r>
    </w:p>
    <w:p>
      <w:pPr>
        <w:numPr>
          <w:ilvl w:val="0"/>
          <w:numId w:val="1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危险源防护技术</w:t>
      </w:r>
    </w:p>
    <w:p>
      <w:pPr>
        <w:adjustRightInd w:val="0"/>
        <w:snapToGrid w:val="0"/>
        <w:spacing w:line="312" w:lineRule="auto"/>
        <w:ind w:firstLine="440" w:firstLineChars="200"/>
        <w:jc w:val="left"/>
        <w:rPr>
          <w:rFonts w:ascii="宋体" w:hAnsi="宋体"/>
          <w:sz w:val="22"/>
          <w:szCs w:val="22"/>
        </w:rPr>
      </w:pPr>
      <w:r>
        <w:rPr>
          <w:rFonts w:hint="eastAsia" w:ascii="宋体" w:hAnsi="宋体"/>
          <w:sz w:val="22"/>
          <w:szCs w:val="22"/>
        </w:rPr>
        <w:t>（1）</w:t>
      </w:r>
      <w:r>
        <w:rPr>
          <w:rFonts w:ascii="宋体" w:hAnsi="宋体"/>
          <w:sz w:val="22"/>
          <w:szCs w:val="22"/>
        </w:rPr>
        <w:t>消除危险源</w:t>
      </w:r>
    </w:p>
    <w:p>
      <w:pPr>
        <w:adjustRightInd w:val="0"/>
        <w:snapToGrid w:val="0"/>
        <w:spacing w:line="312" w:lineRule="auto"/>
        <w:ind w:firstLine="440" w:firstLineChars="200"/>
        <w:jc w:val="left"/>
        <w:rPr>
          <w:rFonts w:ascii="宋体" w:hAnsi="宋体"/>
          <w:sz w:val="22"/>
          <w:szCs w:val="22"/>
        </w:rPr>
      </w:pPr>
      <w:r>
        <w:rPr>
          <w:rFonts w:hint="eastAsia" w:ascii="宋体" w:hAnsi="宋体"/>
          <w:sz w:val="22"/>
          <w:szCs w:val="22"/>
        </w:rPr>
        <w:t>（2）</w:t>
      </w:r>
      <w:r>
        <w:rPr>
          <w:rFonts w:ascii="宋体" w:hAnsi="宋体"/>
          <w:sz w:val="22"/>
          <w:szCs w:val="22"/>
        </w:rPr>
        <w:t>限制能量或危险物质</w:t>
      </w:r>
    </w:p>
    <w:p>
      <w:pPr>
        <w:adjustRightInd w:val="0"/>
        <w:snapToGrid w:val="0"/>
        <w:spacing w:line="312" w:lineRule="auto"/>
        <w:ind w:firstLine="440" w:firstLineChars="200"/>
        <w:jc w:val="left"/>
        <w:rPr>
          <w:rFonts w:ascii="宋体" w:hAnsi="宋体"/>
          <w:sz w:val="22"/>
          <w:szCs w:val="22"/>
        </w:rPr>
      </w:pPr>
      <w:r>
        <w:rPr>
          <w:rFonts w:hint="eastAsia" w:ascii="宋体" w:hAnsi="宋体"/>
          <w:sz w:val="22"/>
          <w:szCs w:val="22"/>
        </w:rPr>
        <w:t>（3）</w:t>
      </w:r>
      <w:r>
        <w:rPr>
          <w:rFonts w:ascii="宋体" w:hAnsi="宋体"/>
          <w:sz w:val="22"/>
          <w:szCs w:val="22"/>
        </w:rPr>
        <w:t>隔离</w:t>
      </w:r>
    </w:p>
    <w:p>
      <w:pPr>
        <w:adjustRightInd w:val="0"/>
        <w:snapToGrid w:val="0"/>
        <w:spacing w:line="312" w:lineRule="auto"/>
        <w:ind w:firstLine="440" w:firstLineChars="200"/>
        <w:jc w:val="left"/>
        <w:rPr>
          <w:rFonts w:ascii="宋体" w:hAnsi="宋体"/>
          <w:sz w:val="22"/>
          <w:szCs w:val="22"/>
        </w:rPr>
      </w:pPr>
      <w:r>
        <w:rPr>
          <w:rFonts w:hint="eastAsia" w:ascii="宋体" w:hAnsi="宋体"/>
          <w:sz w:val="22"/>
          <w:szCs w:val="22"/>
        </w:rPr>
        <w:t>（4）</w:t>
      </w:r>
      <w:r>
        <w:rPr>
          <w:rFonts w:ascii="宋体" w:hAnsi="宋体"/>
          <w:sz w:val="22"/>
          <w:szCs w:val="22"/>
        </w:rPr>
        <w:t>耐失误设计</w:t>
      </w:r>
    </w:p>
    <w:p>
      <w:pPr>
        <w:adjustRightInd w:val="0"/>
        <w:snapToGrid w:val="0"/>
        <w:spacing w:line="312" w:lineRule="auto"/>
        <w:ind w:firstLine="440" w:firstLineChars="200"/>
        <w:jc w:val="left"/>
        <w:rPr>
          <w:rFonts w:ascii="宋体" w:hAnsi="宋体"/>
          <w:sz w:val="22"/>
          <w:szCs w:val="22"/>
        </w:rPr>
      </w:pPr>
      <w:r>
        <w:rPr>
          <w:rFonts w:hint="eastAsia" w:ascii="宋体" w:hAnsi="宋体"/>
          <w:sz w:val="22"/>
          <w:szCs w:val="22"/>
        </w:rPr>
        <w:t>（5）</w:t>
      </w:r>
      <w:r>
        <w:rPr>
          <w:rFonts w:ascii="宋体" w:hAnsi="宋体"/>
          <w:color w:val="FF0000"/>
          <w:sz w:val="22"/>
          <w:szCs w:val="22"/>
          <w:bdr w:val="single" w:color="auto" w:sz="4" w:space="0"/>
        </w:rPr>
        <w:t>冗余技术</w:t>
      </w:r>
      <w:r>
        <w:rPr>
          <w:rFonts w:ascii="宋体" w:hAnsi="宋体"/>
          <w:sz w:val="22"/>
          <w:szCs w:val="22"/>
        </w:rPr>
        <w:t>：实现只有一个或几个而不是所有措施（装置）发生故障，系统仍能正常运行。它的目的是提高系统可靠性。</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如在</w:t>
      </w:r>
      <w:r>
        <w:rPr>
          <w:rFonts w:ascii="宋体" w:hAnsi="宋体"/>
          <w:color w:val="FF0000"/>
          <w:sz w:val="22"/>
          <w:szCs w:val="22"/>
          <w:bdr w:val="single" w:color="auto" w:sz="4" w:space="0"/>
        </w:rPr>
        <w:t>危险岗位由双人操作，或人机并行，采用备用系统</w:t>
      </w:r>
      <w:r>
        <w:rPr>
          <w:rFonts w:ascii="宋体" w:hAnsi="宋体"/>
          <w:sz w:val="22"/>
          <w:szCs w:val="22"/>
        </w:rPr>
        <w:t>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【例题·单选】在危险源防护技术中，以不同的形状、颜色来防止操作失误的属于</w:t>
      </w:r>
      <w:r>
        <w:rPr>
          <w:rFonts w:hint="eastAsia" w:ascii="宋体" w:hAnsi="宋体"/>
          <w:sz w:val="22"/>
          <w:szCs w:val="22"/>
        </w:rPr>
        <w:t>（  ）</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A.隔离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B.耐失误设计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C.冗余技术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D.限制能量</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【答案】B</w:t>
      </w:r>
    </w:p>
    <w:p>
      <w:pPr>
        <w:numPr>
          <w:ilvl w:val="0"/>
          <w:numId w:val="1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施工安全技术措施</w:t>
      </w:r>
    </w:p>
    <w:p>
      <w:pPr>
        <w:numPr>
          <w:ilvl w:val="0"/>
          <w:numId w:val="1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确定重大风险源的部位和过程，制定相应措施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例如：高空坠落、机械伤害、起重吊装、动用明火、</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密闭容器、带电调试、管道和容器的无损检测、压力试验、清洗吹扫、临时用电、试运行等。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续，施工安全技术措施</w:t>
      </w:r>
    </w:p>
    <w:p>
      <w:pPr>
        <w:numPr>
          <w:ilvl w:val="0"/>
          <w:numId w:val="1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针对工程项目的特殊需求制定安全技术措施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例如：</w:t>
      </w:r>
    </w:p>
    <w:p>
      <w:pPr>
        <w:numPr>
          <w:ilvl w:val="0"/>
          <w:numId w:val="1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冬期、雨期、夏季高温期、夜间等施工时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制定相应的安全技术措施；补充相应的安全操作规程或措施；</w:t>
      </w:r>
    </w:p>
    <w:p>
      <w:pPr>
        <w:numPr>
          <w:ilvl w:val="0"/>
          <w:numId w:val="1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采用新工艺、新技术、新设备、新材料施工的特殊性制定相应的安全技术措施；</w:t>
      </w:r>
    </w:p>
    <w:p>
      <w:pPr>
        <w:numPr>
          <w:ilvl w:val="0"/>
          <w:numId w:val="1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对施工各专业、工种、施工各阶段、交叉作业等编制针对性的安全技术措施等。</w:t>
      </w:r>
    </w:p>
    <w:p>
      <w:pPr>
        <w:numPr>
          <w:ilvl w:val="0"/>
          <w:numId w:val="2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安全专项施工方案</w:t>
      </w:r>
    </w:p>
    <w:p>
      <w:pPr>
        <w:numPr>
          <w:ilvl w:val="0"/>
          <w:numId w:val="21"/>
        </w:numPr>
        <w:adjustRightInd w:val="0"/>
        <w:snapToGrid w:val="0"/>
        <w:spacing w:line="312" w:lineRule="auto"/>
        <w:ind w:left="0" w:firstLine="440" w:firstLineChars="200"/>
        <w:jc w:val="left"/>
        <w:rPr>
          <w:rFonts w:ascii="宋体" w:hAnsi="宋体"/>
          <w:sz w:val="22"/>
          <w:szCs w:val="22"/>
        </w:rPr>
      </w:pPr>
      <w:r>
        <w:rPr>
          <w:rFonts w:ascii="宋体" w:hAnsi="宋体"/>
          <w:color w:val="FF0000"/>
          <w:sz w:val="22"/>
          <w:szCs w:val="22"/>
          <w:bdr w:val="single" w:color="auto" w:sz="4" w:space="0"/>
        </w:rPr>
        <w:t>适用范围</w:t>
      </w:r>
      <w:r>
        <w:rPr>
          <w:rFonts w:ascii="宋体" w:hAnsi="宋体"/>
          <w:sz w:val="22"/>
          <w:szCs w:val="22"/>
        </w:rPr>
        <w:t>包括：</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基坑支护及降水工程，</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土方开挖工程，</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模板工程及支撑体系，</w:t>
      </w:r>
    </w:p>
    <w:p>
      <w:pPr>
        <w:numPr>
          <w:ilvl w:val="0"/>
          <w:numId w:val="22"/>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起重吊装及安装拆卸工程,</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脚手架工程，</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拆除及爆破工程，</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采用新技术、新工艺、新材料、新设备</w:t>
      </w:r>
    </w:p>
    <w:p>
      <w:pPr>
        <w:numPr>
          <w:ilvl w:val="0"/>
          <w:numId w:val="2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尚无相关技术标准的危险性较大的分部分项工程等。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续，安全专项施工方案</w:t>
      </w:r>
    </w:p>
    <w:p>
      <w:pPr>
        <w:numPr>
          <w:ilvl w:val="0"/>
          <w:numId w:val="2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专项方案审核批准</w:t>
      </w:r>
    </w:p>
    <w:p>
      <w:pPr>
        <w:numPr>
          <w:ilvl w:val="0"/>
          <w:numId w:val="2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专项方案论证会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对于超过一定规模的危险性较大的分部分项工程，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应当由施工企业组织召开专项方案专家论证会。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w:t>
      </w:r>
      <w:r>
        <w:rPr>
          <w:rFonts w:ascii="宋体" w:hAnsi="宋体"/>
          <w:color w:val="FF0000"/>
          <w:sz w:val="22"/>
          <w:szCs w:val="22"/>
          <w:bdr w:val="single" w:color="auto" w:sz="4" w:space="0"/>
        </w:rPr>
        <w:t>实行施工总承包的，由总承包单位组织</w:t>
      </w:r>
      <w:r>
        <w:rPr>
          <w:rFonts w:ascii="宋体" w:hAnsi="宋体"/>
          <w:sz w:val="22"/>
          <w:szCs w:val="22"/>
        </w:rPr>
        <w:t>）</w:t>
      </w:r>
    </w:p>
    <w:p>
      <w:pPr>
        <w:numPr>
          <w:ilvl w:val="0"/>
          <w:numId w:val="2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专项方案实施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w:t>
      </w:r>
      <w:r>
        <w:rPr>
          <w:rFonts w:ascii="宋体" w:hAnsi="宋体"/>
          <w:color w:val="FF0000"/>
          <w:sz w:val="22"/>
          <w:szCs w:val="22"/>
          <w:bdr w:val="single" w:color="auto" w:sz="4" w:space="0"/>
        </w:rPr>
        <w:t>对于超过一定规模的危险性较大的分部分项工程</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施工单位应当</w:t>
      </w:r>
      <w:r>
        <w:rPr>
          <w:rFonts w:ascii="宋体" w:hAnsi="宋体"/>
          <w:color w:val="FF0000"/>
          <w:sz w:val="22"/>
          <w:szCs w:val="22"/>
          <w:bdr w:val="single" w:color="auto" w:sz="4" w:space="0"/>
        </w:rPr>
        <w:t>根据论证报告</w:t>
      </w:r>
      <w:r>
        <w:rPr>
          <w:rFonts w:ascii="宋体" w:hAnsi="宋体"/>
          <w:sz w:val="22"/>
          <w:szCs w:val="22"/>
        </w:rPr>
        <w:t>修改完善专项方案，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并经施工单位技术负责人、项目总监理工程师、建设单位项目负责人签字后，方可组织实施。</w:t>
      </w:r>
    </w:p>
    <w:p>
      <w:pPr>
        <w:numPr>
          <w:ilvl w:val="0"/>
          <w:numId w:val="2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安全检查内容与要求</w:t>
      </w:r>
    </w:p>
    <w:p>
      <w:pPr>
        <w:numPr>
          <w:ilvl w:val="0"/>
          <w:numId w:val="2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安全检查要求</w:t>
      </w:r>
    </w:p>
    <w:p>
      <w:pPr>
        <w:numPr>
          <w:ilvl w:val="0"/>
          <w:numId w:val="27"/>
        </w:numPr>
        <w:adjustRightInd w:val="0"/>
        <w:snapToGrid w:val="0"/>
        <w:spacing w:line="312" w:lineRule="auto"/>
        <w:ind w:left="0" w:firstLine="440" w:firstLineChars="200"/>
        <w:jc w:val="left"/>
        <w:rPr>
          <w:rFonts w:ascii="宋体" w:hAnsi="宋体"/>
          <w:sz w:val="22"/>
          <w:szCs w:val="22"/>
        </w:rPr>
      </w:pPr>
      <w:r>
        <w:rPr>
          <w:rFonts w:ascii="宋体" w:hAnsi="宋体"/>
          <w:color w:val="FF0000"/>
          <w:sz w:val="22"/>
          <w:szCs w:val="22"/>
          <w:bdr w:val="single" w:color="auto" w:sz="4" w:space="0"/>
        </w:rPr>
        <w:t>安全检查类型</w:t>
      </w:r>
      <w:r>
        <w:rPr>
          <w:rFonts w:ascii="宋体" w:hAnsi="宋体"/>
          <w:sz w:val="22"/>
          <w:szCs w:val="22"/>
        </w:rPr>
        <w:t>——</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日常巡查、专项检查、季节性检查、定期检查、不定期抽查、</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飞行检查等。</w:t>
      </w:r>
    </w:p>
    <w:p>
      <w:pPr>
        <w:numPr>
          <w:ilvl w:val="0"/>
          <w:numId w:val="28"/>
        </w:numPr>
        <w:adjustRightInd w:val="0"/>
        <w:snapToGrid w:val="0"/>
        <w:spacing w:line="312" w:lineRule="auto"/>
        <w:ind w:left="0" w:firstLine="440" w:firstLineChars="200"/>
        <w:jc w:val="left"/>
        <w:rPr>
          <w:rFonts w:ascii="宋体" w:hAnsi="宋体"/>
          <w:sz w:val="22"/>
          <w:szCs w:val="22"/>
        </w:rPr>
      </w:pPr>
      <w:r>
        <w:rPr>
          <w:rFonts w:ascii="宋体" w:hAnsi="宋体"/>
          <w:color w:val="FF0000"/>
          <w:sz w:val="22"/>
          <w:szCs w:val="22"/>
          <w:bdr w:val="single" w:color="auto" w:sz="4" w:space="0"/>
        </w:rPr>
        <w:t>安全检查的重点</w:t>
      </w:r>
      <w:r>
        <w:rPr>
          <w:rFonts w:ascii="宋体" w:hAnsi="宋体"/>
          <w:sz w:val="22"/>
          <w:szCs w:val="22"/>
        </w:rPr>
        <w:t xml:space="preserve">是：   </w:t>
      </w:r>
    </w:p>
    <w:p>
      <w:pPr>
        <w:numPr>
          <w:ilvl w:val="0"/>
          <w:numId w:val="2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违章指挥；</w:t>
      </w:r>
    </w:p>
    <w:p>
      <w:pPr>
        <w:numPr>
          <w:ilvl w:val="0"/>
          <w:numId w:val="2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违章作业；</w:t>
      </w:r>
    </w:p>
    <w:p>
      <w:pPr>
        <w:numPr>
          <w:ilvl w:val="0"/>
          <w:numId w:val="2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直接作业环节的安全保证措施。</w:t>
      </w:r>
    </w:p>
    <w:p>
      <w:pPr>
        <w:numPr>
          <w:ilvl w:val="0"/>
          <w:numId w:val="3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绿色施工实施要求</w:t>
      </w:r>
    </w:p>
    <w:p>
      <w:pPr>
        <w:numPr>
          <w:ilvl w:val="0"/>
          <w:numId w:val="3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绿色施工要点</w:t>
      </w:r>
    </w:p>
    <w:p>
      <w:pPr>
        <w:numPr>
          <w:ilvl w:val="0"/>
          <w:numId w:val="3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环境保护技术要点</w:t>
      </w:r>
    </w:p>
    <w:p>
      <w:pPr>
        <w:numPr>
          <w:ilvl w:val="0"/>
          <w:numId w:val="3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扬尘控制，阅读了解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（1）运送土方、垃圾、设备及建筑材料等时，不应污损道路。</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运输容易散落、飞扬、流漏的物料的车辆，应采取措施封闭严密。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施工现场出口应设置洗车设施，保持开出现场车辆的清洁。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（3）土方作业阶段，采取洒水、覆盖等措施，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达到作业区</w:t>
      </w:r>
      <w:r>
        <w:rPr>
          <w:rFonts w:ascii="宋体" w:hAnsi="宋体"/>
          <w:color w:val="FF0000"/>
          <w:sz w:val="22"/>
          <w:szCs w:val="22"/>
          <w:bdr w:val="single" w:color="auto" w:sz="4" w:space="0"/>
        </w:rPr>
        <w:t>目测扬尘高度小于1.5m</w:t>
      </w:r>
      <w:r>
        <w:rPr>
          <w:rFonts w:ascii="宋体" w:hAnsi="宋体"/>
          <w:sz w:val="22"/>
          <w:szCs w:val="22"/>
        </w:rPr>
        <w:t>，不扩散到场区外。</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续，环境保护技术要点</w:t>
      </w:r>
    </w:p>
    <w:p>
      <w:pPr>
        <w:numPr>
          <w:ilvl w:val="0"/>
          <w:numId w:val="3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建筑垃圾控制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（1）制订建筑垃圾</w:t>
      </w:r>
      <w:r>
        <w:rPr>
          <w:rFonts w:ascii="宋体" w:hAnsi="宋体"/>
          <w:color w:val="FF0000"/>
          <w:sz w:val="22"/>
          <w:szCs w:val="22"/>
          <w:bdr w:val="single" w:color="auto" w:sz="4" w:space="0"/>
        </w:rPr>
        <w:t>减量化</w:t>
      </w:r>
      <w:r>
        <w:rPr>
          <w:rFonts w:ascii="宋体" w:hAnsi="宋体"/>
          <w:sz w:val="22"/>
          <w:szCs w:val="22"/>
        </w:rPr>
        <w:t>计划。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（2）加强建筑垃圾的</w:t>
      </w:r>
      <w:r>
        <w:rPr>
          <w:rFonts w:ascii="宋体" w:hAnsi="宋体"/>
          <w:color w:val="FF0000"/>
          <w:sz w:val="22"/>
          <w:szCs w:val="22"/>
          <w:bdr w:val="single" w:color="auto" w:sz="4" w:space="0"/>
        </w:rPr>
        <w:t>回收再利用</w:t>
      </w:r>
      <w:r>
        <w:rPr>
          <w:rFonts w:ascii="宋体" w:hAnsi="宋体"/>
          <w:sz w:val="22"/>
          <w:szCs w:val="22"/>
        </w:rPr>
        <w:t>，力争建筑垃圾的再利用和回收率达到30%。碎石类、土石方类建筑垃圾应用作地基和路基回填材料。</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（3）施工现场生活区应设置封闭式垃圾容器，施工场地生活垃圾实行</w:t>
      </w:r>
      <w:r>
        <w:rPr>
          <w:rFonts w:ascii="宋体" w:hAnsi="宋体"/>
          <w:color w:val="FF0000"/>
          <w:sz w:val="22"/>
          <w:szCs w:val="22"/>
          <w:bdr w:val="single" w:color="auto" w:sz="4" w:space="0"/>
        </w:rPr>
        <w:t>袋装化</w:t>
      </w:r>
      <w:r>
        <w:rPr>
          <w:rFonts w:ascii="宋体" w:hAnsi="宋体"/>
          <w:sz w:val="22"/>
          <w:szCs w:val="22"/>
        </w:rPr>
        <w:t>，及时</w:t>
      </w:r>
      <w:r>
        <w:rPr>
          <w:rFonts w:ascii="宋体" w:hAnsi="宋体"/>
          <w:color w:val="FF0000"/>
          <w:sz w:val="22"/>
          <w:szCs w:val="22"/>
          <w:bdr w:val="single" w:color="auto" w:sz="4" w:space="0"/>
        </w:rPr>
        <w:t>清运</w:t>
      </w:r>
      <w:r>
        <w:rPr>
          <w:rFonts w:ascii="宋体" w:hAnsi="宋体"/>
          <w:sz w:val="22"/>
          <w:szCs w:val="22"/>
        </w:rPr>
        <w:t>。</w:t>
      </w:r>
    </w:p>
    <w:p>
      <w:pPr>
        <w:numPr>
          <w:ilvl w:val="0"/>
          <w:numId w:val="3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现场文明施工的目标与措施</w:t>
      </w:r>
    </w:p>
    <w:p>
      <w:pPr>
        <w:numPr>
          <w:ilvl w:val="0"/>
          <w:numId w:val="3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现场文明施工目标   （阅读了解）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1.规范施工现场的场容，保持作业环境的整洁卫生；</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2.科学组织施工，使生产有序进行；</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3.减少施工对周围居民和环境的影响；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4.保证施工现场人员的安全和身体健康。</w:t>
      </w:r>
    </w:p>
    <w:p>
      <w:pPr>
        <w:numPr>
          <w:ilvl w:val="0"/>
          <w:numId w:val="3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文明施工实施要求</w:t>
      </w:r>
    </w:p>
    <w:p>
      <w:pPr>
        <w:numPr>
          <w:ilvl w:val="0"/>
          <w:numId w:val="3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现场文明施工管理基本要求</w:t>
      </w:r>
    </w:p>
    <w:p>
      <w:pPr>
        <w:numPr>
          <w:ilvl w:val="0"/>
          <w:numId w:val="3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工程施工阶段的文明施工要求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课后阅读了解：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1.作业过程要求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5.临时用电要求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6.保卫消防要求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（5）现场的临时围护包括周边围护和措施性围护。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围护设施高度不应低于1.8m。</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市区工地围护设施高度不应低于2.5m。</w:t>
      </w:r>
    </w:p>
    <w:p>
      <w:pPr>
        <w:numPr>
          <w:ilvl w:val="0"/>
          <w:numId w:val="4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现场文明施工过程指导和监测</w:t>
      </w:r>
    </w:p>
    <w:p>
      <w:pPr>
        <w:numPr>
          <w:ilvl w:val="0"/>
          <w:numId w:val="4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现场清整应符合的要求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（1）现场安全围护规范牢固，高度宜在1.5m以上；</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考试时还是用上一页的要求：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围护设施高度不应低于1.8m。</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市区工地围护设施高度不应低于2</w:t>
      </w:r>
      <w:r>
        <w:rPr>
          <w:rFonts w:hint="eastAsia" w:ascii="宋体" w:hAnsi="宋体"/>
          <w:sz w:val="22"/>
          <w:szCs w:val="22"/>
        </w:rPr>
        <w:t>.</w:t>
      </w:r>
      <w:r>
        <w:rPr>
          <w:rFonts w:ascii="宋体" w:hAnsi="宋体"/>
          <w:sz w:val="22"/>
          <w:szCs w:val="22"/>
        </w:rPr>
        <w:t>5m。</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（2）标志牌规范、齐全、有明显宣传标语；</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（3）现场“三通一平”符合要求，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井、沟有标识和防护，用电规范，水无跑漏；</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（4）施工现场整洁卫生、排水通畅、无垃圾。</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1H420120机电工程施工质量管理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施工质量控制的策划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施工质量影响因素的预控</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施工质量检验的类型及规定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施工质量统计的分析方法及应用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施工质量问题和事故的划分及处理</w:t>
      </w:r>
    </w:p>
    <w:p>
      <w:pPr>
        <w:numPr>
          <w:ilvl w:val="0"/>
          <w:numId w:val="4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机电工程施工质量控制策划的依据和方法</w:t>
      </w:r>
    </w:p>
    <w:p>
      <w:pPr>
        <w:numPr>
          <w:ilvl w:val="0"/>
          <w:numId w:val="4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质量控制策划的（三种）方法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按施工质量形成阶段进行策划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事前、事中、事后</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按质量影响因素进行策划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人、料、机（测）、环、法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按工程施工层次进行策划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检验批、分项、分部（子分部）、单位（子单位）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续，机电工程施工质量控制策划的依据和方法</w:t>
      </w:r>
    </w:p>
    <w:p>
      <w:pPr>
        <w:numPr>
          <w:ilvl w:val="0"/>
          <w:numId w:val="44"/>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质量控制策划方法的选择</w:t>
      </w:r>
    </w:p>
    <w:p>
      <w:pPr>
        <w:numPr>
          <w:ilvl w:val="0"/>
          <w:numId w:val="4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对于整体工程或综合工程的质量控制策划——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宜按施工阶段来进行。</w:t>
      </w:r>
    </w:p>
    <w:p>
      <w:pPr>
        <w:numPr>
          <w:ilvl w:val="0"/>
          <w:numId w:val="4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对关键过程、特殊过程或技术质量要求较高的过程——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可按质量影响因素进行详细策划。</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也可以将三种策划方法结合起来进行，</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策划输出的结果是——</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①施工质量控制计划②施工组织设计③施工方案④专题措施</w:t>
      </w:r>
    </w:p>
    <w:p>
      <w:pPr>
        <w:numPr>
          <w:ilvl w:val="0"/>
          <w:numId w:val="4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施工质量影响因素的预控</w:t>
      </w:r>
    </w:p>
    <w:p>
      <w:pPr>
        <w:numPr>
          <w:ilvl w:val="0"/>
          <w:numId w:val="48"/>
        </w:numPr>
        <w:adjustRightInd w:val="0"/>
        <w:snapToGrid w:val="0"/>
        <w:spacing w:line="312" w:lineRule="auto"/>
        <w:ind w:left="0" w:firstLine="440" w:firstLineChars="200"/>
        <w:jc w:val="left"/>
        <w:rPr>
          <w:rFonts w:ascii="宋体" w:hAnsi="宋体"/>
          <w:sz w:val="22"/>
          <w:szCs w:val="22"/>
        </w:rPr>
      </w:pPr>
      <w:r>
        <w:rPr>
          <w:rFonts w:ascii="宋体" w:hAnsi="宋体"/>
          <w:color w:val="FF0000"/>
          <w:sz w:val="22"/>
          <w:szCs w:val="22"/>
          <w:bdr w:val="single" w:color="auto" w:sz="4" w:space="0"/>
        </w:rPr>
        <w:t>施工质量影响因素的预控内容</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在施工质量控制过程中，对质量控制点或分项、分部工程的质量影响因素进行分析，从而采取措施，实现质量预控。</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这些影响因素通常包括</w:t>
      </w:r>
      <w:r>
        <w:rPr>
          <w:rFonts w:ascii="宋体" w:hAnsi="宋体"/>
          <w:color w:val="FF0000"/>
          <w:sz w:val="22"/>
          <w:szCs w:val="22"/>
          <w:bdr w:val="single" w:color="auto" w:sz="4" w:space="0"/>
        </w:rPr>
        <w:t>人、机（检）、料、法、环(4MIE)</w:t>
      </w:r>
      <w:r>
        <w:rPr>
          <w:rFonts w:ascii="宋体" w:hAnsi="宋体"/>
          <w:sz w:val="22"/>
          <w:szCs w:val="22"/>
        </w:rPr>
        <w:t>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考题应用——质量预控措施（2016年）</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            质量问题找原因（2009年）</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施工质量影响因素预控</w:t>
      </w:r>
    </w:p>
    <w:p>
      <w:pPr>
        <w:adjustRightInd w:val="0"/>
        <w:snapToGrid w:val="0"/>
        <w:spacing w:line="312" w:lineRule="auto"/>
        <w:jc w:val="center"/>
        <w:rPr>
          <w:rFonts w:hint="eastAsia" w:ascii="宋体" w:hAnsi="宋体"/>
          <w:sz w:val="22"/>
          <w:szCs w:val="22"/>
        </w:rPr>
      </w:pPr>
      <w:r>
        <w:rPr>
          <w:rFonts w:ascii="宋体" w:hAnsi="宋体"/>
          <w:sz w:val="22"/>
          <w:szCs w:val="22"/>
        </w:rPr>
        <w:drawing>
          <wp:inline distT="0" distB="0" distL="0" distR="0">
            <wp:extent cx="2231390" cy="1270635"/>
            <wp:effectExtent l="0" t="0" r="16510" b="5715"/>
            <wp:docPr id="263" name="Picture 1" descr="C:\Users\Administrator\AppData\Roaming\Tencent\Users\410126737\QQ\WinTemp\RichOle\9XO]67O0`A`BS)MY}CZQ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1" descr="C:\Users\Administrator\AppData\Roaming\Tencent\Users\410126737\QQ\WinTemp\RichOle\9XO]67O0`A`BS)MY}CZQO(N.pn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8800"/>
                              </a14:imgEffect>
                            </a14:imgLayer>
                          </a14:imgProps>
                        </a:ext>
                      </a:extLst>
                    </a:blip>
                    <a:srcRect/>
                    <a:stretch>
                      <a:fillRect/>
                    </a:stretch>
                  </pic:blipFill>
                  <pic:spPr>
                    <a:xfrm>
                      <a:off x="0" y="0"/>
                      <a:ext cx="2247717" cy="1279885"/>
                    </a:xfrm>
                    <a:prstGeom prst="rect">
                      <a:avLst/>
                    </a:prstGeom>
                    <a:noFill/>
                  </pic:spPr>
                </pic:pic>
              </a:graphicData>
            </a:graphic>
          </wp:inline>
        </w:drawing>
      </w:r>
    </w:p>
    <w:p>
      <w:pPr>
        <w:numPr>
          <w:ilvl w:val="0"/>
          <w:numId w:val="4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施工前对质量影响因素的预控方法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（1）确定质量预控的对象。</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（2）对分部、分项工程进行过程分解。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如合金钢管道安装分项工程，可分解为：</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领料、下料、坡口加工、组对、焊接、支架安装、管道安装、检验等过程。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（3）针对每个过程进行分析，确定可能出现的质量问题。</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（4）对每个质量问题，从人、机、料、法、环5个方面分析可能的影响因素。</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（5）针对每个过程可能的质量影响因素，制定预控措施。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（6）编制质量预控方案并实施。</w:t>
      </w:r>
    </w:p>
    <w:p>
      <w:pPr>
        <w:numPr>
          <w:ilvl w:val="0"/>
          <w:numId w:val="5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质量预控方案</w:t>
      </w:r>
    </w:p>
    <w:p>
      <w:pPr>
        <w:numPr>
          <w:ilvl w:val="0"/>
          <w:numId w:val="5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质量预控方案内容：</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1.工序名称</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2.可能出现的质量问题</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3.针对可能出现的质量问题提出的预控措施</w:t>
      </w:r>
    </w:p>
    <w:p>
      <w:pPr>
        <w:numPr>
          <w:ilvl w:val="0"/>
          <w:numId w:val="5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质量预控方案表达形式</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①文字表达形式②表格表达形式③预控图表达形式</w:t>
      </w:r>
    </w:p>
    <w:p>
      <w:pPr>
        <w:numPr>
          <w:ilvl w:val="0"/>
          <w:numId w:val="5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施工质量检验的规定</w:t>
      </w:r>
    </w:p>
    <w:p>
      <w:pPr>
        <w:numPr>
          <w:ilvl w:val="0"/>
          <w:numId w:val="54"/>
        </w:numPr>
        <w:adjustRightInd w:val="0"/>
        <w:snapToGrid w:val="0"/>
        <w:spacing w:line="312" w:lineRule="auto"/>
        <w:ind w:left="0" w:firstLine="440" w:firstLineChars="200"/>
        <w:jc w:val="left"/>
        <w:rPr>
          <w:rFonts w:ascii="宋体" w:hAnsi="宋体"/>
          <w:sz w:val="22"/>
          <w:szCs w:val="22"/>
        </w:rPr>
      </w:pPr>
      <w:r>
        <w:rPr>
          <w:rFonts w:ascii="宋体" w:hAnsi="宋体"/>
          <w:sz w:val="22"/>
          <w:szCs w:val="22"/>
          <w:lang w:val="zh-CN"/>
        </w:rPr>
        <w:t>施工质量检验的分类</w:t>
      </w:r>
    </w:p>
    <w:p>
      <w:pPr>
        <w:numPr>
          <w:ilvl w:val="0"/>
          <w:numId w:val="5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按质量检验的目的划分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①施工过程质量检查②质量验收检查③质量监督检查</w:t>
      </w:r>
    </w:p>
    <w:p>
      <w:pPr>
        <w:numPr>
          <w:ilvl w:val="0"/>
          <w:numId w:val="5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按施工阶段通常分为</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①进货检验②过程检验③最终检验</w:t>
      </w:r>
    </w:p>
    <w:p>
      <w:pPr>
        <w:numPr>
          <w:ilvl w:val="0"/>
          <w:numId w:val="5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最终检验，即竣工验收阶段的质量检验，包括——</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单位工程验收、联动试车、质量监督检查核定等。</w:t>
      </w:r>
    </w:p>
    <w:p>
      <w:pPr>
        <w:numPr>
          <w:ilvl w:val="0"/>
          <w:numId w:val="5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施工质量“三检制”</w:t>
      </w:r>
    </w:p>
    <w:p>
      <w:pPr>
        <w:adjustRightInd w:val="0"/>
        <w:snapToGrid w:val="0"/>
        <w:spacing w:line="312" w:lineRule="auto"/>
        <w:ind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自检、互检、专检</w:t>
      </w:r>
    </w:p>
    <w:p>
      <w:pPr>
        <w:numPr>
          <w:ilvl w:val="0"/>
          <w:numId w:val="5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互检——</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是对自检的复核和确认。①同组施工人员之间对所完成的作业或分项工程进行互相检查②本班组的质量检查员的抽检，③下道作业对上道作业的交接检验。</w:t>
      </w:r>
    </w:p>
    <w:p>
      <w:pPr>
        <w:numPr>
          <w:ilvl w:val="0"/>
          <w:numId w:val="6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专检——</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是指质量检验员对分部、分项工程进行检验，用以弥补自检、互检的不足。</w:t>
      </w:r>
    </w:p>
    <w:p>
      <w:pPr>
        <w:numPr>
          <w:ilvl w:val="0"/>
          <w:numId w:val="6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不合格品管理</w:t>
      </w:r>
    </w:p>
    <w:p>
      <w:pPr>
        <w:numPr>
          <w:ilvl w:val="0"/>
          <w:numId w:val="6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不合格品的处置程序，阅读了解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1）当发现不合格品时，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应及时停止该工序的施工作业或停止材料使用，并进行标识隔离；</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2）已经发出的材料应及时追回；</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3）属于业主提供的设备材料应及时通知业主和监理；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4）对于不合格的原材料，应联系供货单位提出更换或退货要求；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5）已经形成半成品或制成品的过程产品，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应组织相关人员进行评审，提出处置措施；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6）实施处置措施。</w:t>
      </w:r>
    </w:p>
    <w:p>
      <w:pPr>
        <w:numPr>
          <w:ilvl w:val="0"/>
          <w:numId w:val="6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不合格品的处置方法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返修处理、返工处理、不作处理、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降级使用（限制使用）、报废处理。</w:t>
      </w:r>
    </w:p>
    <w:p>
      <w:pPr>
        <w:numPr>
          <w:ilvl w:val="0"/>
          <w:numId w:val="6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不作处理：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某些工程质量虽不符合规定的要求，但经过分析、论证、法定检测单位鉴定和设计等有关部门认可，对工程或结构使用及安全影响不大、经后续工序可以弥补的；或经检测鉴定虽达不到设计要求，但经原设计单位核算，仍能满足结构安全和使用功能的，也可不作专门处理。</w:t>
      </w:r>
    </w:p>
    <w:p>
      <w:pPr>
        <w:numPr>
          <w:ilvl w:val="0"/>
          <w:numId w:val="6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施工质量验收</w:t>
      </w:r>
    </w:p>
    <w:p>
      <w:pPr>
        <w:numPr>
          <w:ilvl w:val="0"/>
          <w:numId w:val="6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隐蔽工程验收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施工单位进行自检，并在隐蔽前48h以书面形式通知建设单位（监理单位）或工程质量监督、检验单位进行验收。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通知内容包括：隐蔽验收的内容、隐蔽方式、验收时间和地点等。</w:t>
      </w:r>
    </w:p>
    <w:p>
      <w:pPr>
        <w:numPr>
          <w:ilvl w:val="0"/>
          <w:numId w:val="6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工程专项验收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工程专项验收主要包括——</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消防验收、环境保护验收、工程档案验收、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建筑防雷验收、建筑节能专项验收、安全验收和规划验收等。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专项验收应在分层质量验收合格的基础上，在工程总体验收前进行。</w:t>
      </w:r>
    </w:p>
    <w:p>
      <w:pPr>
        <w:numPr>
          <w:ilvl w:val="0"/>
          <w:numId w:val="6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施工质量统计的分析方法及应用</w:t>
      </w:r>
    </w:p>
    <w:p>
      <w:pPr>
        <w:numPr>
          <w:ilvl w:val="0"/>
          <w:numId w:val="6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质量数据统计分析方法的应用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质量数据统计分析方法有很多，施工常用的有——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①统计调查表法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②分层法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③排列图法（2015、16、17连考三年）</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④因果分析图法（又称鱼刺法）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续，质量数据统计分析方法的应用</w:t>
      </w:r>
    </w:p>
    <w:p>
      <w:pPr>
        <w:numPr>
          <w:ilvl w:val="0"/>
          <w:numId w:val="7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因果分析图法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质量问题找原因</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人：</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责任性不强、经验不够、未经培训就上岗、</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特种作业人员无上岗证等；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料：</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未严格进场检验、未进行安装前的检查用了不合格的材料；</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机：</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施工机具选择不当、不匹配；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机具的主要性能参数不能满足工程需要，不能保证质量要求；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检测机具：</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设备未经鉴定，精度误差超出规定的范围等；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环：</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作业环境不合适，如温度高或低、光线情况、阴雨天；</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作业方法不符合要求（从工艺角度查找）</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注意答题时抄案例背景中的相关内容</w:t>
      </w:r>
    </w:p>
    <w:p>
      <w:pPr>
        <w:numPr>
          <w:ilvl w:val="0"/>
          <w:numId w:val="71"/>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施工质量问题及事故分析处理</w:t>
      </w:r>
    </w:p>
    <w:p>
      <w:pPr>
        <w:numPr>
          <w:ilvl w:val="0"/>
          <w:numId w:val="7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质量事故（判定）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工程质量事故，是指由于建设、勘察、设计、施工、监理等单位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违反工程质量有关法律法规和工程建设标准，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使工程产生结构安全、重要使用功能等方面的质量缺陷，</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造成人身伤亡或者重大经济损失的事故。</w:t>
      </w:r>
    </w:p>
    <w:p>
      <w:pPr>
        <w:numPr>
          <w:ilvl w:val="0"/>
          <w:numId w:val="7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质量事故等级</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工程质量事故分为4个等级: </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（经济损失100万以上构成事故）</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数轴上的往高一级靠（划分同安全事故）</w:t>
      </w:r>
    </w:p>
    <w:p>
      <w:pPr>
        <w:numPr>
          <w:ilvl w:val="0"/>
          <w:numId w:val="7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质量问题处理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根据质量问题的范围、性质、原因和影响程度，确定处置方案，</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例如：返工、返修、降级使用、不作处理、报废等。</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1H420130机电工程试运行管理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试运行的组织和应具备的条件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单体试运行要求与实施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联动试运行的条件与要求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负荷试运行的条件与要求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试运行的组织和应具备的条件</w:t>
      </w:r>
    </w:p>
    <w:p>
      <w:pPr>
        <w:numPr>
          <w:ilvl w:val="0"/>
          <w:numId w:val="7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试运行组织</w:t>
      </w:r>
    </w:p>
    <w:p>
      <w:pPr>
        <w:numPr>
          <w:ilvl w:val="0"/>
          <w:numId w:val="7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试运行的工作内容可以分为三大阶段：</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①施工阶段（预试车中单机试车开始起）②试车阶段③试运行阶段。</w:t>
      </w:r>
    </w:p>
    <w:p>
      <w:pPr>
        <w:numPr>
          <w:ilvl w:val="0"/>
          <w:numId w:val="7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业主应在项目开始建设时成立专门机构，负责项目试车和生产运行准备活动。</w:t>
      </w:r>
    </w:p>
    <w:p>
      <w:pPr>
        <w:numPr>
          <w:ilvl w:val="0"/>
          <w:numId w:val="7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项目各装置的试车阶段和试运行阶段均应由业主负责组织和指挥。当合同另有规定时，应按合同规定执行。</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注意结合教材1H420021的招标投标项目的分类中的合同范畴</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续，试运行的组织和应具备的条件</w:t>
      </w:r>
    </w:p>
    <w:p>
      <w:pPr>
        <w:numPr>
          <w:ilvl w:val="0"/>
          <w:numId w:val="7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试运行前应完成的主要工作</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1.施工质量验收合格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（1）设备及其附属装置安装及内部处理的全部工作已完成，并经有关单位检查确认。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（2）管道系统。管道系统安装及检验试验的全部工作已完成，并经有关单位检查确认。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（3）电气系统。总变电站、变配电所、电动机受电及空载运行的全部工作已完成，供、配电系统正常运行，工作照明、事故照明和局部照明投用，并经有关单位检查确认。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（4）控制系统、自动控制系统调节器有关参数的计算和预置的全部工作已完成，设计文件和规范规定的安装调试的全部工作已完成，经有关部门检查确认。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单体试运行要求与实施</w:t>
      </w:r>
    </w:p>
    <w:p>
      <w:pPr>
        <w:numPr>
          <w:ilvl w:val="0"/>
          <w:numId w:val="7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单体试运行的主要范围及目的</w:t>
      </w:r>
    </w:p>
    <w:p>
      <w:pPr>
        <w:numPr>
          <w:ilvl w:val="0"/>
          <w:numId w:val="80"/>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单体试运行目的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单体试运行主要考核单台动设备的机械性能，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检验动设备的制造、安装质量和设备性能等是否符合规范和设计要求。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联动试运行目的：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主要考核联动机组或整条生产线的电气连锁；</w:t>
      </w:r>
    </w:p>
    <w:p>
      <w:pPr>
        <w:numPr>
          <w:ilvl w:val="0"/>
          <w:numId w:val="81"/>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单体试运行前必须具备的条件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1.单机试车责任已明确；</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2.有关分项工程验收合格；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3.施工过程资料齐全；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4.资源条件已满足。</w:t>
      </w:r>
    </w:p>
    <w:p>
      <w:pPr>
        <w:numPr>
          <w:ilvl w:val="0"/>
          <w:numId w:val="8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施工过程资料包括——</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（1）产品合格证书或复验报告。</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（2）施工记录、隐蔽工程记录和各种检验、试验合格文件。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（3）与单机试运行相关的电气和仪表调校合格资料。</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（这些资料应经过审核）</w:t>
      </w:r>
    </w:p>
    <w:p>
      <w:pPr>
        <w:numPr>
          <w:ilvl w:val="0"/>
          <w:numId w:val="8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资源条件</w:t>
      </w:r>
    </w:p>
    <w:p>
      <w:pPr>
        <w:numPr>
          <w:ilvl w:val="0"/>
          <w:numId w:val="8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试运行方案已经批准。</w:t>
      </w:r>
    </w:p>
    <w:p>
      <w:pPr>
        <w:numPr>
          <w:ilvl w:val="0"/>
          <w:numId w:val="8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试运行组织已经建立，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操作人员经培训、考试合格，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熟悉试运行方案和操作规程，能正确操作。</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w:t>
      </w:r>
    </w:p>
    <w:p>
      <w:pPr>
        <w:numPr>
          <w:ilvl w:val="0"/>
          <w:numId w:val="8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中间交接</w:t>
      </w:r>
    </w:p>
    <w:p>
      <w:pPr>
        <w:numPr>
          <w:ilvl w:val="0"/>
          <w:numId w:val="8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中间交接的内容</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（1）按设计内容对工程实物量核实交接。</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（2）工程质量初评资料及有关调试记录的交接、审核与验证。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（3）安装专用工具和剩余随机备件、材料的交接。</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（4）工程尾项清理情况及完成时间的确认。</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（5）随机技术资料的交接。</w:t>
      </w:r>
    </w:p>
    <w:p>
      <w:pPr>
        <w:numPr>
          <w:ilvl w:val="0"/>
          <w:numId w:val="87"/>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中间交接手续</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阅读理解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当预试车和冷试车由不同的合同主体承担时，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机械竣工后，冷试车开始前，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各有关方应办理《工程中间交接证书》。</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此外作为联动试运行的条件之一，</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在联动试运行前中间交接要完成。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阅读了解</w:t>
      </w:r>
    </w:p>
    <w:p>
      <w:pPr>
        <w:numPr>
          <w:ilvl w:val="0"/>
          <w:numId w:val="8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保管</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中间交接后的保管</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中间交接后的单项或装置应由业主或承担试车的合同主体负责保管、使用、维护，但不应解除施工方的施工责任，遗留的施工问题仍由施工方解决，并应按期限完成。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联动试运行的条件与要求</w:t>
      </w:r>
    </w:p>
    <w:p>
      <w:pPr>
        <w:numPr>
          <w:ilvl w:val="0"/>
          <w:numId w:val="8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联动试运行的主要范围及目的</w:t>
      </w:r>
    </w:p>
    <w:p>
      <w:pPr>
        <w:numPr>
          <w:ilvl w:val="0"/>
          <w:numId w:val="90"/>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联动试运行目的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主要考核联动机组或整条生产线的电气联锁，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检验设备全部性能和制造、安装质量是否符合规范和设计要求。</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单体试运行目的：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单体试运行主要考核单台动设备的机械性能</w:t>
      </w:r>
    </w:p>
    <w:p>
      <w:pPr>
        <w:numPr>
          <w:ilvl w:val="0"/>
          <w:numId w:val="91"/>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联动试运行前必须具备的条件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1.单位工程质量验收合格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2.单体试运行全部合格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3.工艺系统试验合格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4.管理要求已完善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5.资源条件已满足</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6.准备工作已完成</w:t>
      </w:r>
    </w:p>
    <w:p>
      <w:pPr>
        <w:numPr>
          <w:ilvl w:val="0"/>
          <w:numId w:val="92"/>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单位工程质量验收合格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中间交接已完成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 1）“三查四定”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三查：查设计漏项、未完工程、工程质量隐患；</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四定：对查出的问题定任务、定人员、定时间、定措施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的问题整改消缺完毕，遗留的尾项已处理完。</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 2）影响投料的设计变更项目已施工完。</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 xml:space="preserve"> 3）现场清洁，施工用临时设施已全部拆除，无杂物，无障碍。</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续，联动试运行前必须具备的条件</w:t>
      </w:r>
    </w:p>
    <w:p>
      <w:pPr>
        <w:numPr>
          <w:ilvl w:val="0"/>
          <w:numId w:val="93"/>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管理要求已完善</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（1）试运行方案和生产操作规程已经批准。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（2）工厂的生产管理机构已经建立，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各级岗位责任制已经制定，有关生产记录报表已配备。</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（3）试运行组织已经建立，</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参加试运行人员已通过安全生产考试。</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（4）试运行方案中规定的工艺指标、报警及联锁整定值</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已确认并下达。</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负荷试运行的条件与要求</w:t>
      </w:r>
    </w:p>
    <w:p>
      <w:pPr>
        <w:numPr>
          <w:ilvl w:val="0"/>
          <w:numId w:val="94"/>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负荷试运行的要求</w:t>
      </w:r>
    </w:p>
    <w:p>
      <w:pPr>
        <w:numPr>
          <w:ilvl w:val="0"/>
          <w:numId w:val="9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负荷试运行应符合的规定（2016案例三）</w:t>
      </w:r>
    </w:p>
    <w:p>
      <w:pPr>
        <w:numPr>
          <w:ilvl w:val="0"/>
          <w:numId w:val="95"/>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负荷试运行应符合的标准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（1）生产装置连续运行，生产出合格产品，一次投料负荷试运行成功。</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（2）负荷试运行的主要控制点正点到达。</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（3）不发生重大设备、操作、人身事故，不发生火灾和爆炸事故。</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（4）环保设施做到“三同时”，不污染环境。</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（5）负荷试运行不得超过试车预算，经济效益好。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1H420140机电工程竣工验收 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竣工验收的分类和依据</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竣工验收的组织与程序</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竣工验收的要求与实施</w:t>
      </w:r>
    </w:p>
    <w:p>
      <w:pPr>
        <w:numPr>
          <w:ilvl w:val="0"/>
          <w:numId w:val="96"/>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竣工验收的依据</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竣工验收依据文件的组成——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一类是指导建设管理行为的依据</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即法律、法规、标准、规范以及具有指南作用的参考资料；</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另一类是工程建设中形成的依据</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其足以证实工程实体形成过程和工程实体性能特征的工程资料。</w:t>
      </w:r>
    </w:p>
    <w:p>
      <w:pPr>
        <w:numPr>
          <w:ilvl w:val="0"/>
          <w:numId w:val="97"/>
        </w:numPr>
        <w:adjustRightInd w:val="0"/>
        <w:snapToGrid w:val="0"/>
        <w:spacing w:line="312" w:lineRule="auto"/>
        <w:ind w:left="0" w:firstLine="440" w:firstLineChars="200"/>
        <w:jc w:val="left"/>
        <w:rPr>
          <w:rFonts w:ascii="宋体" w:hAnsi="宋体"/>
          <w:color w:val="FF0000"/>
          <w:sz w:val="22"/>
          <w:szCs w:val="22"/>
          <w:bdr w:val="single" w:color="auto" w:sz="4" w:space="0"/>
        </w:rPr>
      </w:pPr>
      <w:r>
        <w:rPr>
          <w:rFonts w:ascii="宋体" w:hAnsi="宋体"/>
          <w:color w:val="FF0000"/>
          <w:sz w:val="22"/>
          <w:szCs w:val="22"/>
          <w:bdr w:val="single" w:color="auto" w:sz="4" w:space="0"/>
        </w:rPr>
        <w:t>竣工验收前须完成的验收项目</w:t>
      </w:r>
      <w:r>
        <w:rPr>
          <w:rFonts w:hint="eastAsia" w:ascii="宋体" w:hAnsi="宋体"/>
          <w:sz w:val="22"/>
          <w:szCs w:val="22"/>
        </w:rPr>
        <w:t>【重要】</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1.交工验收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2.专项验收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（消防验收、安全设施验收、环境保护验收）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3.竣工决算与项目审计（不是结算）</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4.档案验收</w:t>
      </w:r>
    </w:p>
    <w:p>
      <w:pPr>
        <w:adjustRightInd w:val="0"/>
        <w:snapToGrid w:val="0"/>
        <w:spacing w:line="312" w:lineRule="auto"/>
        <w:ind w:firstLine="442" w:firstLineChars="200"/>
        <w:jc w:val="left"/>
        <w:rPr>
          <w:rFonts w:hint="eastAsia" w:ascii="宋体" w:hAnsi="宋体"/>
          <w:b/>
          <w:sz w:val="22"/>
          <w:szCs w:val="22"/>
        </w:rPr>
      </w:pPr>
      <w:r>
        <w:rPr>
          <w:rFonts w:hint="eastAsia" w:ascii="宋体" w:hAnsi="宋体"/>
          <w:b/>
          <w:sz w:val="22"/>
          <w:szCs w:val="22"/>
          <w:highlight w:val="yellow"/>
        </w:rPr>
        <w:t>【提示】竣工验收</w:t>
      </w:r>
      <w:r>
        <w:rPr>
          <w:rFonts w:ascii="宋体" w:hAnsi="宋体"/>
          <w:b/>
          <w:sz w:val="22"/>
          <w:szCs w:val="22"/>
          <w:highlight w:val="yellow"/>
        </w:rPr>
        <w:t>前须完成的验收项目要重点掌握，通常会在案例中考察。</w:t>
      </w:r>
    </w:p>
    <w:p>
      <w:pPr>
        <w:numPr>
          <w:ilvl w:val="0"/>
          <w:numId w:val="98"/>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建设工程项目交工验收应符合下列规定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（1）建设单位已按工程合同完成工程结算的审核，并签署结算文件。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（2）设计单位已完成竣工图。</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（3）施工单位按国家标准或行业标准的规定向建设单位移交工程建设交工技术文件。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（4）施工单位出具工程质量保修书。</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（5）工程监理单位按要求向建设单位移交监理文件。</w:t>
      </w:r>
    </w:p>
    <w:p>
      <w:pPr>
        <w:numPr>
          <w:ilvl w:val="0"/>
          <w:numId w:val="99"/>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 xml:space="preserve">专项验收 </w:t>
      </w:r>
    </w:p>
    <w:p>
      <w:pPr>
        <w:numPr>
          <w:ilvl w:val="0"/>
          <w:numId w:val="100"/>
        </w:numPr>
        <w:adjustRightInd w:val="0"/>
        <w:snapToGrid w:val="0"/>
        <w:spacing w:line="312" w:lineRule="auto"/>
        <w:ind w:left="0" w:firstLine="440" w:firstLineChars="200"/>
        <w:jc w:val="left"/>
        <w:rPr>
          <w:rFonts w:ascii="宋体" w:hAnsi="宋体"/>
          <w:sz w:val="22"/>
          <w:szCs w:val="22"/>
        </w:rPr>
      </w:pPr>
      <w:r>
        <w:rPr>
          <w:rFonts w:ascii="宋体" w:hAnsi="宋体"/>
          <w:sz w:val="22"/>
          <w:szCs w:val="22"/>
        </w:rPr>
        <w:t>专项验收的一般规定</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1）建设工程项目的消防设施、安全设施及环境保护设施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应与主体工程同时设计、同时施工、同时投入生产和使用。</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2）建设单位应向政府有关行政主管部门申请建设工程项目的专项验收。</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3）消防验收应在建设工程项目投入试生产前完成。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4）安全设施验收及环境保护验收应在建设工程项目试生产阶段完成。</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1H420000机电工程项目施工管理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1H420150机电工程保修与回访管理</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工程保修的职责与程序</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工程回访计划与实施</w:t>
      </w:r>
    </w:p>
    <w:p>
      <w:pPr>
        <w:adjustRightInd w:val="0"/>
        <w:snapToGrid w:val="0"/>
        <w:spacing w:line="312" w:lineRule="auto"/>
        <w:ind w:firstLine="440" w:firstLineChars="200"/>
        <w:jc w:val="left"/>
        <w:rPr>
          <w:rFonts w:ascii="宋体" w:hAnsi="宋体"/>
          <w:sz w:val="22"/>
          <w:szCs w:val="22"/>
        </w:rPr>
      </w:pPr>
      <w:r>
        <w:rPr>
          <w:rFonts w:ascii="宋体" w:hAnsi="宋体"/>
          <w:sz w:val="22"/>
          <w:szCs w:val="22"/>
        </w:rPr>
        <w:t>这部分知识点比较简单阅读即可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C06"/>
    <w:multiLevelType w:val="multilevel"/>
    <w:tmpl w:val="000E4C0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1F306C9"/>
    <w:multiLevelType w:val="multilevel"/>
    <w:tmpl w:val="01F306C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23C6351"/>
    <w:multiLevelType w:val="multilevel"/>
    <w:tmpl w:val="023C635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322C15"/>
    <w:multiLevelType w:val="multilevel"/>
    <w:tmpl w:val="04322C1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6327BF"/>
    <w:multiLevelType w:val="multilevel"/>
    <w:tmpl w:val="066327B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81A70BF"/>
    <w:multiLevelType w:val="multilevel"/>
    <w:tmpl w:val="081A70B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90E05EF"/>
    <w:multiLevelType w:val="multilevel"/>
    <w:tmpl w:val="090E05E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A4940F1"/>
    <w:multiLevelType w:val="multilevel"/>
    <w:tmpl w:val="0A4940F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A4F2E72"/>
    <w:multiLevelType w:val="multilevel"/>
    <w:tmpl w:val="0A4F2E7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A9C282A"/>
    <w:multiLevelType w:val="multilevel"/>
    <w:tmpl w:val="0A9C282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0B9E6504"/>
    <w:multiLevelType w:val="multilevel"/>
    <w:tmpl w:val="0B9E650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C7211DF"/>
    <w:multiLevelType w:val="multilevel"/>
    <w:tmpl w:val="0C7211D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0EF623EC"/>
    <w:multiLevelType w:val="multilevel"/>
    <w:tmpl w:val="0EF623E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0F70601D"/>
    <w:multiLevelType w:val="multilevel"/>
    <w:tmpl w:val="0F70601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10DF5D9F"/>
    <w:multiLevelType w:val="multilevel"/>
    <w:tmpl w:val="10DF5D9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11785117"/>
    <w:multiLevelType w:val="multilevel"/>
    <w:tmpl w:val="1178511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12754468"/>
    <w:multiLevelType w:val="multilevel"/>
    <w:tmpl w:val="1275446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129E58CE"/>
    <w:multiLevelType w:val="multilevel"/>
    <w:tmpl w:val="129E58C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12CC4C0A"/>
    <w:multiLevelType w:val="multilevel"/>
    <w:tmpl w:val="12CC4C0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12D81877"/>
    <w:multiLevelType w:val="multilevel"/>
    <w:tmpl w:val="12D8187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143E51C5"/>
    <w:multiLevelType w:val="multilevel"/>
    <w:tmpl w:val="143E51C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15F1692E"/>
    <w:multiLevelType w:val="multilevel"/>
    <w:tmpl w:val="15F1692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
    <w:nsid w:val="16C41930"/>
    <w:multiLevelType w:val="multilevel"/>
    <w:tmpl w:val="16C419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18C74E28"/>
    <w:multiLevelType w:val="multilevel"/>
    <w:tmpl w:val="18C74E2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18E41622"/>
    <w:multiLevelType w:val="multilevel"/>
    <w:tmpl w:val="18E4162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197F5FDE"/>
    <w:multiLevelType w:val="multilevel"/>
    <w:tmpl w:val="197F5FD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1AE03536"/>
    <w:multiLevelType w:val="multilevel"/>
    <w:tmpl w:val="1AE0353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1B4E44B8"/>
    <w:multiLevelType w:val="multilevel"/>
    <w:tmpl w:val="1B4E44B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1C5A4E87"/>
    <w:multiLevelType w:val="multilevel"/>
    <w:tmpl w:val="1C5A4E8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1DE2260A"/>
    <w:multiLevelType w:val="multilevel"/>
    <w:tmpl w:val="1DE2260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1EA71762"/>
    <w:multiLevelType w:val="multilevel"/>
    <w:tmpl w:val="1EA7176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1F6102AC"/>
    <w:multiLevelType w:val="multilevel"/>
    <w:tmpl w:val="1F6102A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1F9144FF"/>
    <w:multiLevelType w:val="multilevel"/>
    <w:tmpl w:val="1F9144F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20E0787B"/>
    <w:multiLevelType w:val="multilevel"/>
    <w:tmpl w:val="20E0787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215F6022"/>
    <w:multiLevelType w:val="multilevel"/>
    <w:tmpl w:val="215F602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23A654A8"/>
    <w:multiLevelType w:val="multilevel"/>
    <w:tmpl w:val="23A654A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2410356D"/>
    <w:multiLevelType w:val="multilevel"/>
    <w:tmpl w:val="2410356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249C2355"/>
    <w:multiLevelType w:val="multilevel"/>
    <w:tmpl w:val="249C235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252F387D"/>
    <w:multiLevelType w:val="multilevel"/>
    <w:tmpl w:val="252F387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28905DEF"/>
    <w:multiLevelType w:val="multilevel"/>
    <w:tmpl w:val="28905DE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293E59BA"/>
    <w:multiLevelType w:val="multilevel"/>
    <w:tmpl w:val="293E59B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2A1825DB"/>
    <w:multiLevelType w:val="multilevel"/>
    <w:tmpl w:val="2A1825D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2AB50D51"/>
    <w:multiLevelType w:val="multilevel"/>
    <w:tmpl w:val="2AB50D5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2EBF113C"/>
    <w:multiLevelType w:val="multilevel"/>
    <w:tmpl w:val="2EBF113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03363B0"/>
    <w:multiLevelType w:val="multilevel"/>
    <w:tmpl w:val="303363B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30A7227F"/>
    <w:multiLevelType w:val="multilevel"/>
    <w:tmpl w:val="30A7227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30B54B93"/>
    <w:multiLevelType w:val="multilevel"/>
    <w:tmpl w:val="30B54B9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31AD7031"/>
    <w:multiLevelType w:val="multilevel"/>
    <w:tmpl w:val="31AD703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32E6626B"/>
    <w:multiLevelType w:val="multilevel"/>
    <w:tmpl w:val="32E6626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9">
    <w:nsid w:val="339F15A6"/>
    <w:multiLevelType w:val="multilevel"/>
    <w:tmpl w:val="339F15A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359E1FFB"/>
    <w:multiLevelType w:val="multilevel"/>
    <w:tmpl w:val="359E1FF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1">
    <w:nsid w:val="361F7D1A"/>
    <w:multiLevelType w:val="multilevel"/>
    <w:tmpl w:val="361F7D1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2">
    <w:nsid w:val="3C4442F3"/>
    <w:multiLevelType w:val="multilevel"/>
    <w:tmpl w:val="3C4442F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3">
    <w:nsid w:val="3D6C1CFF"/>
    <w:multiLevelType w:val="multilevel"/>
    <w:tmpl w:val="3D6C1CF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3E6147F4"/>
    <w:multiLevelType w:val="multilevel"/>
    <w:tmpl w:val="3E6147F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5">
    <w:nsid w:val="41593488"/>
    <w:multiLevelType w:val="multilevel"/>
    <w:tmpl w:val="41593488"/>
    <w:lvl w:ilvl="0" w:tentative="0">
      <w:start w:val="1"/>
      <w:numFmt w:val="decimalEnclosedCircle"/>
      <w:lvlText w:val="%1"/>
      <w:lvlJc w:val="left"/>
      <w:pPr>
        <w:tabs>
          <w:tab w:val="left" w:pos="720"/>
        </w:tabs>
        <w:ind w:left="720" w:hanging="360"/>
      </w:pPr>
    </w:lvl>
    <w:lvl w:ilvl="1" w:tentative="0">
      <w:start w:val="1"/>
      <w:numFmt w:val="decimalEnclosedCircle"/>
      <w:lvlText w:val="%2"/>
      <w:lvlJc w:val="left"/>
      <w:pPr>
        <w:tabs>
          <w:tab w:val="left" w:pos="1440"/>
        </w:tabs>
        <w:ind w:left="1440" w:hanging="360"/>
      </w:pPr>
    </w:lvl>
    <w:lvl w:ilvl="2" w:tentative="0">
      <w:start w:val="1"/>
      <w:numFmt w:val="decimalEnclosedCircle"/>
      <w:lvlText w:val="%3"/>
      <w:lvlJc w:val="left"/>
      <w:pPr>
        <w:tabs>
          <w:tab w:val="left" w:pos="2160"/>
        </w:tabs>
        <w:ind w:left="2160" w:hanging="360"/>
      </w:pPr>
    </w:lvl>
    <w:lvl w:ilvl="3" w:tentative="0">
      <w:start w:val="1"/>
      <w:numFmt w:val="decimalEnclosedCircle"/>
      <w:lvlText w:val="%4"/>
      <w:lvlJc w:val="left"/>
      <w:pPr>
        <w:tabs>
          <w:tab w:val="left" w:pos="2880"/>
        </w:tabs>
        <w:ind w:left="2880" w:hanging="360"/>
      </w:pPr>
    </w:lvl>
    <w:lvl w:ilvl="4" w:tentative="0">
      <w:start w:val="1"/>
      <w:numFmt w:val="decimalEnclosedCircle"/>
      <w:lvlText w:val="%5"/>
      <w:lvlJc w:val="left"/>
      <w:pPr>
        <w:tabs>
          <w:tab w:val="left" w:pos="3600"/>
        </w:tabs>
        <w:ind w:left="3600" w:hanging="360"/>
      </w:pPr>
    </w:lvl>
    <w:lvl w:ilvl="5" w:tentative="0">
      <w:start w:val="1"/>
      <w:numFmt w:val="decimalEnclosedCircle"/>
      <w:lvlText w:val="%6"/>
      <w:lvlJc w:val="left"/>
      <w:pPr>
        <w:tabs>
          <w:tab w:val="left" w:pos="4320"/>
        </w:tabs>
        <w:ind w:left="4320" w:hanging="360"/>
      </w:pPr>
    </w:lvl>
    <w:lvl w:ilvl="6" w:tentative="0">
      <w:start w:val="1"/>
      <w:numFmt w:val="decimalEnclosedCircle"/>
      <w:lvlText w:val="%7"/>
      <w:lvlJc w:val="left"/>
      <w:pPr>
        <w:tabs>
          <w:tab w:val="left" w:pos="5040"/>
        </w:tabs>
        <w:ind w:left="5040" w:hanging="360"/>
      </w:pPr>
    </w:lvl>
    <w:lvl w:ilvl="7" w:tentative="0">
      <w:start w:val="1"/>
      <w:numFmt w:val="decimalEnclosedCircle"/>
      <w:lvlText w:val="%8"/>
      <w:lvlJc w:val="left"/>
      <w:pPr>
        <w:tabs>
          <w:tab w:val="left" w:pos="5760"/>
        </w:tabs>
        <w:ind w:left="5760" w:hanging="360"/>
      </w:pPr>
    </w:lvl>
    <w:lvl w:ilvl="8" w:tentative="0">
      <w:start w:val="1"/>
      <w:numFmt w:val="decimalEnclosedCircle"/>
      <w:lvlText w:val="%9"/>
      <w:lvlJc w:val="left"/>
      <w:pPr>
        <w:tabs>
          <w:tab w:val="left" w:pos="6480"/>
        </w:tabs>
        <w:ind w:left="6480" w:hanging="360"/>
      </w:pPr>
    </w:lvl>
  </w:abstractNum>
  <w:abstractNum w:abstractNumId="56">
    <w:nsid w:val="41691CE9"/>
    <w:multiLevelType w:val="multilevel"/>
    <w:tmpl w:val="41691CE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7">
    <w:nsid w:val="42644384"/>
    <w:multiLevelType w:val="multilevel"/>
    <w:tmpl w:val="4264438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431301AC"/>
    <w:multiLevelType w:val="multilevel"/>
    <w:tmpl w:val="431301A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465200FD"/>
    <w:multiLevelType w:val="multilevel"/>
    <w:tmpl w:val="465200F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477B075F"/>
    <w:multiLevelType w:val="multilevel"/>
    <w:tmpl w:val="477B075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485C479A"/>
    <w:multiLevelType w:val="multilevel"/>
    <w:tmpl w:val="485C479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488F6623"/>
    <w:multiLevelType w:val="multilevel"/>
    <w:tmpl w:val="488F662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3">
    <w:nsid w:val="48F8048C"/>
    <w:multiLevelType w:val="multilevel"/>
    <w:tmpl w:val="48F8048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4A863F93"/>
    <w:multiLevelType w:val="multilevel"/>
    <w:tmpl w:val="4A863F9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5">
    <w:nsid w:val="4A962039"/>
    <w:multiLevelType w:val="multilevel"/>
    <w:tmpl w:val="4A96203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4E973BA0"/>
    <w:multiLevelType w:val="multilevel"/>
    <w:tmpl w:val="4E973BA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7">
    <w:nsid w:val="51C40562"/>
    <w:multiLevelType w:val="multilevel"/>
    <w:tmpl w:val="51C4056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527E60B8"/>
    <w:multiLevelType w:val="multilevel"/>
    <w:tmpl w:val="527E60B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9">
    <w:nsid w:val="53936F30"/>
    <w:multiLevelType w:val="multilevel"/>
    <w:tmpl w:val="53936F3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0">
    <w:nsid w:val="55764741"/>
    <w:multiLevelType w:val="multilevel"/>
    <w:tmpl w:val="5576474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55EF0C79"/>
    <w:multiLevelType w:val="multilevel"/>
    <w:tmpl w:val="55EF0C7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2">
    <w:nsid w:val="561B2426"/>
    <w:multiLevelType w:val="multilevel"/>
    <w:tmpl w:val="561B242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3">
    <w:nsid w:val="59C0580D"/>
    <w:multiLevelType w:val="multilevel"/>
    <w:tmpl w:val="59C0580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4">
    <w:nsid w:val="5AC04009"/>
    <w:multiLevelType w:val="multilevel"/>
    <w:tmpl w:val="5AC0400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5">
    <w:nsid w:val="5D525C4A"/>
    <w:multiLevelType w:val="multilevel"/>
    <w:tmpl w:val="5D525C4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6">
    <w:nsid w:val="5D6C43AE"/>
    <w:multiLevelType w:val="multilevel"/>
    <w:tmpl w:val="5D6C43A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7">
    <w:nsid w:val="5ED71F5D"/>
    <w:multiLevelType w:val="multilevel"/>
    <w:tmpl w:val="5ED71F5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8">
    <w:nsid w:val="5F4B7950"/>
    <w:multiLevelType w:val="multilevel"/>
    <w:tmpl w:val="5F4B795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9">
    <w:nsid w:val="625D4B1F"/>
    <w:multiLevelType w:val="multilevel"/>
    <w:tmpl w:val="625D4B1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0">
    <w:nsid w:val="62645AA8"/>
    <w:multiLevelType w:val="multilevel"/>
    <w:tmpl w:val="62645AA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1">
    <w:nsid w:val="65327931"/>
    <w:multiLevelType w:val="multilevel"/>
    <w:tmpl w:val="6532793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2">
    <w:nsid w:val="6A5A5B10"/>
    <w:multiLevelType w:val="multilevel"/>
    <w:tmpl w:val="6A5A5B1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3">
    <w:nsid w:val="6ADB277A"/>
    <w:multiLevelType w:val="multilevel"/>
    <w:tmpl w:val="6ADB277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4">
    <w:nsid w:val="6C1832E2"/>
    <w:multiLevelType w:val="multilevel"/>
    <w:tmpl w:val="6C1832E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5">
    <w:nsid w:val="6D7A2B0E"/>
    <w:multiLevelType w:val="multilevel"/>
    <w:tmpl w:val="6D7A2B0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6D98298A"/>
    <w:multiLevelType w:val="multilevel"/>
    <w:tmpl w:val="6D98298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7">
    <w:nsid w:val="704566FC"/>
    <w:multiLevelType w:val="multilevel"/>
    <w:tmpl w:val="704566F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8">
    <w:nsid w:val="719D6EC7"/>
    <w:multiLevelType w:val="multilevel"/>
    <w:tmpl w:val="719D6EC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9">
    <w:nsid w:val="724D51A9"/>
    <w:multiLevelType w:val="multilevel"/>
    <w:tmpl w:val="724D51A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0">
    <w:nsid w:val="72EC1BC9"/>
    <w:multiLevelType w:val="multilevel"/>
    <w:tmpl w:val="72EC1BC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1">
    <w:nsid w:val="736A7DB7"/>
    <w:multiLevelType w:val="multilevel"/>
    <w:tmpl w:val="736A7DB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2">
    <w:nsid w:val="749B1DD3"/>
    <w:multiLevelType w:val="multilevel"/>
    <w:tmpl w:val="749B1DD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3">
    <w:nsid w:val="752C5EF4"/>
    <w:multiLevelType w:val="multilevel"/>
    <w:tmpl w:val="752C5EF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4">
    <w:nsid w:val="75B161D9"/>
    <w:multiLevelType w:val="multilevel"/>
    <w:tmpl w:val="75B161D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5">
    <w:nsid w:val="75D66935"/>
    <w:multiLevelType w:val="multilevel"/>
    <w:tmpl w:val="75D6693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6">
    <w:nsid w:val="7748492F"/>
    <w:multiLevelType w:val="multilevel"/>
    <w:tmpl w:val="7748492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7">
    <w:nsid w:val="780D4CCA"/>
    <w:multiLevelType w:val="multilevel"/>
    <w:tmpl w:val="780D4CC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8">
    <w:nsid w:val="79516C91"/>
    <w:multiLevelType w:val="multilevel"/>
    <w:tmpl w:val="79516C9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9">
    <w:nsid w:val="7D9C0D72"/>
    <w:multiLevelType w:val="multilevel"/>
    <w:tmpl w:val="7D9C0D7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9"/>
  </w:num>
  <w:num w:numId="2">
    <w:abstractNumId w:val="80"/>
  </w:num>
  <w:num w:numId="3">
    <w:abstractNumId w:val="31"/>
  </w:num>
  <w:num w:numId="4">
    <w:abstractNumId w:val="58"/>
  </w:num>
  <w:num w:numId="5">
    <w:abstractNumId w:val="43"/>
  </w:num>
  <w:num w:numId="6">
    <w:abstractNumId w:val="17"/>
  </w:num>
  <w:num w:numId="7">
    <w:abstractNumId w:val="36"/>
  </w:num>
  <w:num w:numId="8">
    <w:abstractNumId w:val="11"/>
  </w:num>
  <w:num w:numId="9">
    <w:abstractNumId w:val="73"/>
  </w:num>
  <w:num w:numId="10">
    <w:abstractNumId w:val="92"/>
  </w:num>
  <w:num w:numId="11">
    <w:abstractNumId w:val="75"/>
  </w:num>
  <w:num w:numId="12">
    <w:abstractNumId w:val="67"/>
  </w:num>
  <w:num w:numId="13">
    <w:abstractNumId w:val="66"/>
  </w:num>
  <w:num w:numId="14">
    <w:abstractNumId w:val="50"/>
  </w:num>
  <w:num w:numId="15">
    <w:abstractNumId w:val="32"/>
  </w:num>
  <w:num w:numId="16">
    <w:abstractNumId w:val="77"/>
  </w:num>
  <w:num w:numId="17">
    <w:abstractNumId w:val="47"/>
  </w:num>
  <w:num w:numId="18">
    <w:abstractNumId w:val="21"/>
  </w:num>
  <w:num w:numId="19">
    <w:abstractNumId w:val="69"/>
  </w:num>
  <w:num w:numId="20">
    <w:abstractNumId w:val="28"/>
  </w:num>
  <w:num w:numId="21">
    <w:abstractNumId w:val="4"/>
  </w:num>
  <w:num w:numId="22">
    <w:abstractNumId w:val="70"/>
  </w:num>
  <w:num w:numId="23">
    <w:abstractNumId w:val="83"/>
  </w:num>
  <w:num w:numId="24">
    <w:abstractNumId w:val="26"/>
  </w:num>
  <w:num w:numId="25">
    <w:abstractNumId w:val="52"/>
  </w:num>
  <w:num w:numId="26">
    <w:abstractNumId w:val="8"/>
  </w:num>
  <w:num w:numId="27">
    <w:abstractNumId w:val="22"/>
  </w:num>
  <w:num w:numId="28">
    <w:abstractNumId w:val="96"/>
  </w:num>
  <w:num w:numId="29">
    <w:abstractNumId w:val="55"/>
  </w:num>
  <w:num w:numId="30">
    <w:abstractNumId w:val="95"/>
  </w:num>
  <w:num w:numId="31">
    <w:abstractNumId w:val="34"/>
  </w:num>
  <w:num w:numId="32">
    <w:abstractNumId w:val="25"/>
  </w:num>
  <w:num w:numId="33">
    <w:abstractNumId w:val="71"/>
  </w:num>
  <w:num w:numId="34">
    <w:abstractNumId w:val="3"/>
  </w:num>
  <w:num w:numId="35">
    <w:abstractNumId w:val="56"/>
  </w:num>
  <w:num w:numId="36">
    <w:abstractNumId w:val="16"/>
  </w:num>
  <w:num w:numId="37">
    <w:abstractNumId w:val="60"/>
  </w:num>
  <w:num w:numId="38">
    <w:abstractNumId w:val="13"/>
  </w:num>
  <w:num w:numId="39">
    <w:abstractNumId w:val="10"/>
  </w:num>
  <w:num w:numId="40">
    <w:abstractNumId w:val="78"/>
  </w:num>
  <w:num w:numId="41">
    <w:abstractNumId w:val="20"/>
  </w:num>
  <w:num w:numId="42">
    <w:abstractNumId w:val="42"/>
  </w:num>
  <w:num w:numId="43">
    <w:abstractNumId w:val="37"/>
  </w:num>
  <w:num w:numId="44">
    <w:abstractNumId w:val="59"/>
  </w:num>
  <w:num w:numId="45">
    <w:abstractNumId w:val="87"/>
  </w:num>
  <w:num w:numId="46">
    <w:abstractNumId w:val="41"/>
  </w:num>
  <w:num w:numId="47">
    <w:abstractNumId w:val="81"/>
  </w:num>
  <w:num w:numId="48">
    <w:abstractNumId w:val="40"/>
  </w:num>
  <w:num w:numId="49">
    <w:abstractNumId w:val="35"/>
  </w:num>
  <w:num w:numId="50">
    <w:abstractNumId w:val="72"/>
  </w:num>
  <w:num w:numId="51">
    <w:abstractNumId w:val="98"/>
  </w:num>
  <w:num w:numId="52">
    <w:abstractNumId w:val="82"/>
  </w:num>
  <w:num w:numId="53">
    <w:abstractNumId w:val="89"/>
  </w:num>
  <w:num w:numId="54">
    <w:abstractNumId w:val="45"/>
  </w:num>
  <w:num w:numId="55">
    <w:abstractNumId w:val="23"/>
  </w:num>
  <w:num w:numId="56">
    <w:abstractNumId w:val="48"/>
  </w:num>
  <w:num w:numId="57">
    <w:abstractNumId w:val="33"/>
  </w:num>
  <w:num w:numId="58">
    <w:abstractNumId w:val="94"/>
  </w:num>
  <w:num w:numId="59">
    <w:abstractNumId w:val="53"/>
  </w:num>
  <w:num w:numId="60">
    <w:abstractNumId w:val="57"/>
  </w:num>
  <w:num w:numId="61">
    <w:abstractNumId w:val="30"/>
  </w:num>
  <w:num w:numId="62">
    <w:abstractNumId w:val="0"/>
  </w:num>
  <w:num w:numId="63">
    <w:abstractNumId w:val="64"/>
  </w:num>
  <w:num w:numId="64">
    <w:abstractNumId w:val="44"/>
  </w:num>
  <w:num w:numId="65">
    <w:abstractNumId w:val="1"/>
  </w:num>
  <w:num w:numId="66">
    <w:abstractNumId w:val="90"/>
  </w:num>
  <w:num w:numId="67">
    <w:abstractNumId w:val="15"/>
  </w:num>
  <w:num w:numId="68">
    <w:abstractNumId w:val="38"/>
  </w:num>
  <w:num w:numId="69">
    <w:abstractNumId w:val="63"/>
  </w:num>
  <w:num w:numId="70">
    <w:abstractNumId w:val="84"/>
  </w:num>
  <w:num w:numId="71">
    <w:abstractNumId w:val="46"/>
  </w:num>
  <w:num w:numId="72">
    <w:abstractNumId w:val="27"/>
  </w:num>
  <w:num w:numId="73">
    <w:abstractNumId w:val="93"/>
  </w:num>
  <w:num w:numId="74">
    <w:abstractNumId w:val="74"/>
  </w:num>
  <w:num w:numId="75">
    <w:abstractNumId w:val="86"/>
  </w:num>
  <w:num w:numId="76">
    <w:abstractNumId w:val="54"/>
  </w:num>
  <w:num w:numId="77">
    <w:abstractNumId w:val="5"/>
  </w:num>
  <w:num w:numId="78">
    <w:abstractNumId w:val="91"/>
  </w:num>
  <w:num w:numId="79">
    <w:abstractNumId w:val="2"/>
  </w:num>
  <w:num w:numId="80">
    <w:abstractNumId w:val="39"/>
  </w:num>
  <w:num w:numId="81">
    <w:abstractNumId w:val="61"/>
  </w:num>
  <w:num w:numId="82">
    <w:abstractNumId w:val="49"/>
  </w:num>
  <w:num w:numId="83">
    <w:abstractNumId w:val="62"/>
  </w:num>
  <w:num w:numId="84">
    <w:abstractNumId w:val="19"/>
  </w:num>
  <w:num w:numId="85">
    <w:abstractNumId w:val="88"/>
  </w:num>
  <w:num w:numId="86">
    <w:abstractNumId w:val="79"/>
  </w:num>
  <w:num w:numId="87">
    <w:abstractNumId w:val="12"/>
  </w:num>
  <w:num w:numId="88">
    <w:abstractNumId w:val="65"/>
  </w:num>
  <w:num w:numId="89">
    <w:abstractNumId w:val="97"/>
  </w:num>
  <w:num w:numId="90">
    <w:abstractNumId w:val="9"/>
  </w:num>
  <w:num w:numId="91">
    <w:abstractNumId w:val="18"/>
  </w:num>
  <w:num w:numId="92">
    <w:abstractNumId w:val="85"/>
  </w:num>
  <w:num w:numId="93">
    <w:abstractNumId w:val="24"/>
  </w:num>
  <w:num w:numId="94">
    <w:abstractNumId w:val="14"/>
  </w:num>
  <w:num w:numId="95">
    <w:abstractNumId w:val="7"/>
  </w:num>
  <w:num w:numId="96">
    <w:abstractNumId w:val="68"/>
  </w:num>
  <w:num w:numId="97">
    <w:abstractNumId w:val="51"/>
  </w:num>
  <w:num w:numId="98">
    <w:abstractNumId w:val="29"/>
  </w:num>
  <w:num w:numId="99">
    <w:abstractNumId w:val="6"/>
  </w:num>
  <w:num w:numId="10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B1333"/>
    <w:rsid w:val="66EB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hdphoto1.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2018-08-17T03:07:00Z</dcterms:created>
  <dc:creator>小祖宗</dc:creator>
  <cp:lastModifiedBy>小祖宗</cp:lastModifiedBy>
  <dcterms:modified xsi:type="dcterms:W3CDTF">2018-08-17T03:10:58Z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